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E0AF3" w14:textId="77777777" w:rsidR="00B71137" w:rsidRPr="00BD5C66" w:rsidRDefault="00BD5C66">
      <w:pPr>
        <w:jc w:val="center"/>
        <w:rPr>
          <w:b/>
          <w:bCs/>
          <w:lang w:val="en-US"/>
        </w:rPr>
      </w:pPr>
      <w:r w:rsidRPr="00BD5C66">
        <w:rPr>
          <w:b/>
          <w:bCs/>
          <w:lang w:val="en-US"/>
        </w:rPr>
        <w:t>Fiscal Justice in Islamic and Conventional Systems: A Thematic Analysis of Zakat and Taxation</w:t>
      </w:r>
    </w:p>
    <w:p w14:paraId="62E6ED16" w14:textId="77777777" w:rsidR="00B71137" w:rsidRPr="00BD5C66" w:rsidRDefault="00B71137">
      <w:pPr>
        <w:jc w:val="center"/>
        <w:rPr>
          <w:sz w:val="20"/>
          <w:szCs w:val="20"/>
          <w:lang w:val="en-US"/>
        </w:rPr>
      </w:pPr>
    </w:p>
    <w:p w14:paraId="5022498C" w14:textId="54542D5B" w:rsidR="00BD5C66" w:rsidRPr="0086769A" w:rsidRDefault="00BD5C66">
      <w:pPr>
        <w:jc w:val="center"/>
        <w:rPr>
          <w:b/>
          <w:bCs/>
          <w:vertAlign w:val="superscript"/>
          <w:lang w:val="en-US"/>
        </w:rPr>
      </w:pPr>
      <w:r w:rsidRPr="00BD5C66">
        <w:rPr>
          <w:b/>
          <w:bCs/>
          <w:lang w:val="en-US"/>
        </w:rPr>
        <w:t>Irfan Musonif</w:t>
      </w:r>
      <w:r w:rsidRPr="00BD5C66">
        <w:rPr>
          <w:b/>
          <w:bCs/>
          <w:vertAlign w:val="superscript"/>
          <w:lang w:val="en-US"/>
        </w:rPr>
        <w:t>1*</w:t>
      </w:r>
      <w:r w:rsidRPr="00BD5C66">
        <w:rPr>
          <w:b/>
          <w:bCs/>
          <w:lang w:val="en-US"/>
        </w:rPr>
        <w:t xml:space="preserve">, </w:t>
      </w:r>
      <w:proofErr w:type="spellStart"/>
      <w:r w:rsidRPr="00BD5C66">
        <w:rPr>
          <w:b/>
          <w:color w:val="000000"/>
          <w:lang w:val="en-US"/>
        </w:rPr>
        <w:t>Ahda</w:t>
      </w:r>
      <w:proofErr w:type="spellEnd"/>
      <w:r w:rsidRPr="00BD5C66">
        <w:rPr>
          <w:b/>
          <w:color w:val="000000"/>
          <w:lang w:val="en-US"/>
        </w:rPr>
        <w:t xml:space="preserve"> Dikri</w:t>
      </w:r>
      <w:r w:rsidRPr="00BD5C66">
        <w:rPr>
          <w:b/>
          <w:color w:val="000000"/>
          <w:vertAlign w:val="superscript"/>
          <w:lang w:val="en-US"/>
        </w:rPr>
        <w:t>2</w:t>
      </w:r>
      <w:r w:rsidR="0086769A">
        <w:rPr>
          <w:b/>
          <w:color w:val="000000"/>
          <w:lang w:val="en-US"/>
        </w:rPr>
        <w:t xml:space="preserve">, </w:t>
      </w:r>
      <w:r w:rsidR="0086769A" w:rsidRPr="0086769A">
        <w:rPr>
          <w:b/>
          <w:color w:val="000000"/>
          <w:lang w:val="en-US"/>
        </w:rPr>
        <w:t>Muhammad Kholil</w:t>
      </w:r>
      <w:r w:rsidR="0086769A">
        <w:rPr>
          <w:b/>
          <w:color w:val="000000"/>
          <w:vertAlign w:val="superscript"/>
          <w:lang w:val="en-US"/>
        </w:rPr>
        <w:t>3</w:t>
      </w:r>
    </w:p>
    <w:p w14:paraId="3C336E10" w14:textId="096EF2F5" w:rsidR="0086769A" w:rsidRDefault="0086769A">
      <w:pPr>
        <w:jc w:val="center"/>
        <w:rPr>
          <w:iCs/>
          <w:color w:val="1F1F1F"/>
          <w:shd w:val="clear" w:color="auto" w:fill="FFFFFF"/>
          <w:lang w:val="en-US"/>
        </w:rPr>
      </w:pPr>
      <w:r>
        <w:rPr>
          <w:iCs/>
          <w:color w:val="1F1F1F"/>
          <w:shd w:val="clear" w:color="auto" w:fill="FFFFFF"/>
          <w:vertAlign w:val="superscript"/>
          <w:lang w:val="en-US"/>
        </w:rPr>
        <w:t>1,2</w:t>
      </w:r>
      <w:r w:rsidRPr="0086769A">
        <w:rPr>
          <w:iCs/>
          <w:color w:val="1F1F1F"/>
          <w:shd w:val="clear" w:color="auto" w:fill="FFFFFF"/>
          <w:lang w:val="en-US"/>
        </w:rPr>
        <w:t xml:space="preserve">Universitas Islam Negeri Prof. KH. Saifuddin Zuhri </w:t>
      </w:r>
      <w:proofErr w:type="spellStart"/>
      <w:r w:rsidRPr="0086769A">
        <w:rPr>
          <w:iCs/>
          <w:color w:val="1F1F1F"/>
          <w:shd w:val="clear" w:color="auto" w:fill="FFFFFF"/>
          <w:lang w:val="en-US"/>
        </w:rPr>
        <w:t>Purwokerto</w:t>
      </w:r>
      <w:proofErr w:type="spellEnd"/>
      <w:r>
        <w:rPr>
          <w:iCs/>
          <w:color w:val="1F1F1F"/>
          <w:shd w:val="clear" w:color="auto" w:fill="FFFFFF"/>
          <w:lang w:val="en-US"/>
        </w:rPr>
        <w:t>, Indonesia</w:t>
      </w:r>
    </w:p>
    <w:p w14:paraId="4A280D0A" w14:textId="20FE4995" w:rsidR="0086769A" w:rsidRPr="0086769A" w:rsidRDefault="0086769A">
      <w:pPr>
        <w:jc w:val="center"/>
        <w:rPr>
          <w:iCs/>
          <w:color w:val="1F1F1F"/>
          <w:shd w:val="clear" w:color="auto" w:fill="FFFFFF"/>
          <w:lang w:val="en-US"/>
        </w:rPr>
      </w:pPr>
      <w:r>
        <w:rPr>
          <w:iCs/>
          <w:color w:val="1F1F1F"/>
          <w:shd w:val="clear" w:color="auto" w:fill="FFFFFF"/>
          <w:vertAlign w:val="superscript"/>
          <w:lang w:val="en-US"/>
        </w:rPr>
        <w:t>3</w:t>
      </w:r>
      <w:r w:rsidRPr="0086769A">
        <w:rPr>
          <w:iCs/>
          <w:color w:val="1F1F1F"/>
          <w:shd w:val="clear" w:color="auto" w:fill="FFFFFF"/>
          <w:lang w:val="en-US"/>
        </w:rPr>
        <w:t xml:space="preserve">Sekolah Tinggi Agama Islam </w:t>
      </w:r>
      <w:proofErr w:type="spellStart"/>
      <w:r w:rsidRPr="0086769A">
        <w:rPr>
          <w:iCs/>
          <w:color w:val="1F1F1F"/>
          <w:shd w:val="clear" w:color="auto" w:fill="FFFFFF"/>
          <w:lang w:val="en-US"/>
        </w:rPr>
        <w:t>Tanbihul</w:t>
      </w:r>
      <w:proofErr w:type="spellEnd"/>
      <w:r w:rsidRPr="0086769A">
        <w:rPr>
          <w:iCs/>
          <w:color w:val="1F1F1F"/>
          <w:shd w:val="clear" w:color="auto" w:fill="FFFFFF"/>
          <w:lang w:val="en-US"/>
        </w:rPr>
        <w:t xml:space="preserve"> </w:t>
      </w:r>
      <w:proofErr w:type="spellStart"/>
      <w:r w:rsidRPr="0086769A">
        <w:rPr>
          <w:iCs/>
          <w:color w:val="1F1F1F"/>
          <w:shd w:val="clear" w:color="auto" w:fill="FFFFFF"/>
          <w:lang w:val="en-US"/>
        </w:rPr>
        <w:t>Ghofilin</w:t>
      </w:r>
      <w:proofErr w:type="spellEnd"/>
      <w:r>
        <w:rPr>
          <w:iCs/>
          <w:color w:val="1F1F1F"/>
          <w:shd w:val="clear" w:color="auto" w:fill="FFFFFF"/>
          <w:lang w:val="en-US"/>
        </w:rPr>
        <w:t>, Indonesia</w:t>
      </w:r>
    </w:p>
    <w:p w14:paraId="2C5B497A" w14:textId="77777777" w:rsidR="00BD5C66" w:rsidRPr="00BD5C66" w:rsidRDefault="00BD5C66">
      <w:pPr>
        <w:jc w:val="center"/>
        <w:rPr>
          <w:bCs/>
          <w:sz w:val="20"/>
          <w:szCs w:val="20"/>
          <w:lang w:val="en-US"/>
        </w:rPr>
      </w:pPr>
      <w:r w:rsidRPr="00BD5C66">
        <w:rPr>
          <w:bCs/>
          <w:color w:val="000000"/>
          <w:lang w:val="en-US"/>
        </w:rPr>
        <w:t>Email address:</w:t>
      </w:r>
      <w:r w:rsidRPr="00BD5C66">
        <w:rPr>
          <w:b/>
          <w:color w:val="000000"/>
          <w:lang w:val="en-US"/>
        </w:rPr>
        <w:t xml:space="preserve"> </w:t>
      </w:r>
      <w:hyperlink r:id="rId9" w:history="1">
        <w:r w:rsidRPr="00BD5C66">
          <w:rPr>
            <w:rStyle w:val="Hyperlink"/>
            <w:bCs/>
            <w:position w:val="0"/>
            <w:lang w:val="en-US"/>
          </w:rPr>
          <w:t>irfanmusonif04@gmail.com</w:t>
        </w:r>
      </w:hyperlink>
      <w:r w:rsidRPr="00BD5C66">
        <w:rPr>
          <w:bCs/>
          <w:color w:val="000000"/>
          <w:lang w:val="en-US"/>
        </w:rPr>
        <w:t xml:space="preserve"> </w:t>
      </w:r>
    </w:p>
    <w:p w14:paraId="451EAAC2" w14:textId="77777777" w:rsidR="00BD5C66" w:rsidRPr="00BD5C66" w:rsidRDefault="00BD5C66" w:rsidP="00BD5C66">
      <w:pPr>
        <w:rPr>
          <w:sz w:val="20"/>
          <w:szCs w:val="20"/>
          <w:lang w:val="en-US"/>
        </w:rPr>
      </w:pPr>
    </w:p>
    <w:p w14:paraId="44899B5C" w14:textId="77777777" w:rsidR="00B71137" w:rsidRPr="00BD5C66" w:rsidRDefault="00000000">
      <w:pPr>
        <w:jc w:val="center"/>
        <w:rPr>
          <w:i/>
          <w:iCs/>
          <w:sz w:val="18"/>
          <w:szCs w:val="18"/>
          <w:lang w:val="en-US"/>
        </w:rPr>
      </w:pPr>
      <w:proofErr w:type="spellStart"/>
      <w:r w:rsidRPr="00BD5C66">
        <w:rPr>
          <w:b/>
          <w:bCs/>
          <w:i/>
          <w:iCs/>
          <w:lang w:val="en-US"/>
        </w:rPr>
        <w:t>Abstraks</w:t>
      </w:r>
      <w:proofErr w:type="spellEnd"/>
      <w:r w:rsidRPr="00BD5C66">
        <w:rPr>
          <w:i/>
          <w:iCs/>
          <w:lang w:val="en-US"/>
        </w:rPr>
        <w:t xml:space="preserve">. </w:t>
      </w:r>
    </w:p>
    <w:p w14:paraId="6E19EBD1" w14:textId="77777777" w:rsidR="00B71137" w:rsidRPr="00BD5C66" w:rsidRDefault="00BD5C66" w:rsidP="00BD5C66">
      <w:pPr>
        <w:spacing w:before="240" w:after="240"/>
        <w:ind w:left="283" w:right="423" w:firstLine="568"/>
        <w:jc w:val="both"/>
        <w:rPr>
          <w:i/>
          <w:iCs/>
          <w:lang w:val="en-US"/>
        </w:rPr>
      </w:pPr>
      <w:r w:rsidRPr="00BD5C66">
        <w:rPr>
          <w:i/>
          <w:iCs/>
          <w:lang w:val="en-US"/>
        </w:rPr>
        <w:t xml:space="preserve">This study aims to analyze the construction of fiscal justice within Islamic and conventional fiscal policies through a comparative examination of zakat and taxation as primary fiscal instruments. The issue of fiscal justice has become increasingly significant in the context of rising economic inequality and the growing demand for more equitable redistribution systems. However, existing studies have largely focused on normative and quantitative approaches, with limited attention to the underlying meanings that shape these systems. This research adopts a qualitative approach using thematic analysis to identify patterns of meaning derived from policy documents, institutional reports, and relevant academic literature. The findings reveal that fiscal justice in Islamic and conventional systems is grounded in fundamentally different paradigms. Zakat represents a moral-spiritual form of justice oriented toward recipients’ needs and internal legitimacy, whereas taxation reflects an administrative form of justice based on the ability to pay and institutional legitimacy. Furthermore, the study demonstrates that the relationship between zakat and taxation is not inherently dichotomous but potentially complementary, although their integration remains largely administrative and has yet to address deeper conceptual </w:t>
      </w:r>
      <w:proofErr w:type="spellStart"/>
      <w:proofErr w:type="gramStart"/>
      <w:r w:rsidRPr="00BD5C66">
        <w:rPr>
          <w:i/>
          <w:iCs/>
          <w:lang w:val="en-US"/>
        </w:rPr>
        <w:t>dimensions.This</w:t>
      </w:r>
      <w:proofErr w:type="spellEnd"/>
      <w:proofErr w:type="gramEnd"/>
      <w:r w:rsidRPr="00BD5C66">
        <w:rPr>
          <w:i/>
          <w:iCs/>
          <w:lang w:val="en-US"/>
        </w:rPr>
        <w:t xml:space="preserve"> study contributes to the literature by conceptualizing fiscal justice as an interpretative construct shaped by the interaction between values, policy structures, and social perceptions. Practically, the findings highlight the need for fiscal policy design that not only emphasizes economic efficiency but also incorporates social legitimacy and contextually grounded notions of </w:t>
      </w:r>
      <w:proofErr w:type="spellStart"/>
      <w:proofErr w:type="gramStart"/>
      <w:r w:rsidRPr="00BD5C66">
        <w:rPr>
          <w:i/>
          <w:iCs/>
          <w:lang w:val="en-US"/>
        </w:rPr>
        <w:t>justice.Keywords</w:t>
      </w:r>
      <w:proofErr w:type="spellEnd"/>
      <w:proofErr w:type="gramEnd"/>
      <w:r w:rsidRPr="00BD5C66">
        <w:rPr>
          <w:i/>
          <w:iCs/>
          <w:lang w:val="en-US"/>
        </w:rPr>
        <w:t>: Islamic Economics, Ibn Khaldun, Economic Policy</w:t>
      </w:r>
    </w:p>
    <w:p w14:paraId="73789122" w14:textId="77777777" w:rsidR="007D1621" w:rsidRPr="007D1621" w:rsidRDefault="007D1621" w:rsidP="007D1621">
      <w:pPr>
        <w:spacing w:before="240" w:after="240"/>
        <w:ind w:left="283" w:right="423"/>
        <w:jc w:val="both"/>
        <w:rPr>
          <w:i/>
          <w:iCs/>
          <w:lang w:val="en-US"/>
        </w:rPr>
      </w:pPr>
      <w:r w:rsidRPr="007D1621">
        <w:rPr>
          <w:b/>
          <w:bCs/>
          <w:i/>
          <w:iCs/>
          <w:lang w:val="en-US"/>
        </w:rPr>
        <w:t>Keywords:</w:t>
      </w:r>
      <w:r w:rsidRPr="007D1621">
        <w:rPr>
          <w:i/>
          <w:iCs/>
          <w:lang w:val="en-US"/>
        </w:rPr>
        <w:t xml:space="preserve"> fiscal justice, zakat, taxation, fiscal policy, thematic analysis</w:t>
      </w:r>
    </w:p>
    <w:p w14:paraId="7364A7E1" w14:textId="77777777" w:rsidR="00B71137" w:rsidRPr="007D1621" w:rsidRDefault="00B71137">
      <w:pPr>
        <w:ind w:left="283" w:right="283"/>
        <w:jc w:val="both"/>
        <w:rPr>
          <w:lang w:val="en-ID"/>
        </w:rPr>
      </w:pPr>
    </w:p>
    <w:p w14:paraId="77895D8B" w14:textId="77777777" w:rsidR="00BD5C66" w:rsidRPr="00BD5C66" w:rsidRDefault="00BD5C66" w:rsidP="007D1621">
      <w:pPr>
        <w:ind w:right="283"/>
        <w:jc w:val="both"/>
        <w:rPr>
          <w:lang w:val="en-US"/>
        </w:rPr>
      </w:pPr>
    </w:p>
    <w:p w14:paraId="6BD6929B" w14:textId="7F96D199" w:rsidR="00B71137" w:rsidRPr="00BD5C66" w:rsidRDefault="003B1197">
      <w:pPr>
        <w:pStyle w:val="Heading2"/>
        <w:numPr>
          <w:ilvl w:val="0"/>
          <w:numId w:val="1"/>
        </w:numPr>
        <w:spacing w:before="0" w:line="312" w:lineRule="auto"/>
        <w:ind w:left="426" w:hanging="426"/>
        <w:jc w:val="both"/>
        <w:rPr>
          <w:rFonts w:ascii="Arial" w:eastAsia="Arial" w:hAnsi="Arial" w:cs="Arial"/>
          <w:lang w:val="en-US"/>
        </w:rPr>
      </w:pPr>
      <w:r>
        <w:rPr>
          <w:lang w:val="en-US"/>
        </w:rPr>
        <w:lastRenderedPageBreak/>
        <w:t>PENDAHULUAN</w:t>
      </w:r>
    </w:p>
    <w:p w14:paraId="21C340EB" w14:textId="55CC5A45" w:rsidR="00BD5C66" w:rsidRPr="00BD5C66" w:rsidRDefault="00BD5C66" w:rsidP="00BD5C66">
      <w:pPr>
        <w:spacing w:before="240" w:after="240" w:line="360" w:lineRule="auto"/>
        <w:ind w:firstLine="420"/>
        <w:jc w:val="both"/>
        <w:textDirection w:val="btLr"/>
        <w:rPr>
          <w:lang w:val="en-US"/>
        </w:rPr>
      </w:pPr>
      <w:r w:rsidRPr="00BD5C66">
        <w:rPr>
          <w:lang w:val="en-US"/>
        </w:rPr>
        <w:t xml:space="preserve">Fiscal policy is a primary instrument within an economic system that functions not only as a tool for macroeconomic stabilization but also as a mechanism for resource distribution and the achievement of social justice. Within the framework of conventional economics, fiscal policy is implemented through taxation and government expenditure aimed at promoting economic growth, reducing unemployment, and maintaining price stability </w:t>
      </w:r>
      <w:sdt>
        <w:sdtPr>
          <w:rPr>
            <w:color w:val="000000"/>
            <w:lang w:val="en-US"/>
          </w:rPr>
          <w:tag w:val="MENDELEY_CITATION_v3_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"/>
          <w:id w:val="1980872129"/>
          <w:placeholder>
            <w:docPart w:val="DefaultPlaceholder_-1854013440"/>
          </w:placeholder>
        </w:sdtPr>
        <w:sdtContent>
          <w:r w:rsidR="0086769A" w:rsidRPr="0086769A">
            <w:rPr>
              <w:color w:val="000000"/>
            </w:rPr>
            <w:t>(Auerbach &amp; Gorodnichenko, 2020; Musonif, Romadona, et al., 2026)</w:t>
          </w:r>
        </w:sdtContent>
      </w:sdt>
      <w:r w:rsidRPr="00BD5C66">
        <w:rPr>
          <w:lang w:val="en-US"/>
        </w:rPr>
        <w:t xml:space="preserve">. However, in practice, the effectiveness of conventional fiscal policy in achieving distributive justice remains a subject of debate, particularly amid rising global and national economic inequality. Data from the World Inequality Database indicate that global income distribution remains highly unequal, with the wealthiest groups controlling a significantly larger share of income compared to poorer groups </w:t>
      </w:r>
      <w:sdt>
        <w:sdtPr>
          <w:rPr>
            <w:color w:val="000000"/>
            <w:lang w:val="en-US"/>
          </w:rPr>
          <w:tag w:val="MENDELEY_CITATION_v3_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"/>
          <w:id w:val="218568144"/>
          <w:placeholder>
            <w:docPart w:val="DefaultPlaceholder_-1854013440"/>
          </w:placeholder>
        </w:sdtPr>
        <w:sdtContent>
          <w:r w:rsidR="0086769A" w:rsidRPr="0086769A">
            <w:rPr>
              <w:color w:val="000000"/>
              <w:lang w:val="en-US"/>
            </w:rPr>
            <w:t>(Chancel, 2022)</w:t>
          </w:r>
        </w:sdtContent>
      </w:sdt>
      <w:r w:rsidRPr="00BD5C66">
        <w:rPr>
          <w:lang w:val="en-US"/>
        </w:rPr>
        <w:t>. In Indonesia, Statistics Indonesia (BPS) reported that the Gini ratio in 2023 stood at approximately 0.388, indicating that inequality remains a structural issue in the national economy.</w:t>
      </w:r>
    </w:p>
    <w:p w14:paraId="5A9E2D8B" w14:textId="4457B4B4" w:rsidR="00BD5C66" w:rsidRPr="00BD5C66" w:rsidRDefault="00BD5C66" w:rsidP="00BD5C66">
      <w:pPr>
        <w:spacing w:before="240" w:after="240" w:line="360" w:lineRule="auto"/>
        <w:ind w:firstLine="420"/>
        <w:jc w:val="both"/>
        <w:textDirection w:val="btLr"/>
        <w:rPr>
          <w:lang w:val="en-US"/>
        </w:rPr>
      </w:pPr>
      <w:r w:rsidRPr="00BD5C66">
        <w:rPr>
          <w:lang w:val="en-US"/>
        </w:rPr>
        <w:t xml:space="preserve">In this context, taxation as the main instrument of conventional fiscal policy is often criticized for its limited effectiveness in reaching vulnerable groups. Although taxation has substantial capacity for resource mobilization, its benefits are often not directly felt by the poor, particularly due to bureaucratic inefficiencies and policy distortions </w:t>
      </w:r>
      <w:sdt>
        <w:sdtPr>
          <w:rPr>
            <w:color w:val="000000"/>
            <w:lang w:val="en-US"/>
          </w:rPr>
          <w:tag w:val="MENDELEY_CITATION_v3_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"/>
          <w:id w:val="359560978"/>
          <w:placeholder>
            <w:docPart w:val="DefaultPlaceholder_-1854013440"/>
          </w:placeholder>
        </w:sdtPr>
        <w:sdtContent>
          <w:r w:rsidR="0086769A" w:rsidRPr="0086769A">
            <w:rPr>
              <w:color w:val="000000"/>
              <w:lang w:val="en-US"/>
            </w:rPr>
            <w:t>(Stiglitz, 2021)</w:t>
          </w:r>
        </w:sdtContent>
      </w:sdt>
      <w:r w:rsidRPr="00BD5C66">
        <w:rPr>
          <w:lang w:val="en-US"/>
        </w:rPr>
        <w:t xml:space="preserve">. In addition, tax compliance in developing countries, including Indonesia, remains a significant challenge, which in turn constrains the state’s fiscal capacity </w:t>
      </w:r>
      <w:sdt>
        <w:sdtPr>
          <w:rPr>
            <w:color w:val="000000"/>
            <w:lang w:val="en-US"/>
          </w:rPr>
          <w:tag w:val="MENDELEY_CITATION_v3_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"/>
          <w:id w:val="1353608068"/>
          <w:placeholder>
            <w:docPart w:val="DefaultPlaceholder_-1854013440"/>
          </w:placeholder>
        </w:sdtPr>
        <w:sdtContent>
          <w:r w:rsidR="0086769A" w:rsidRPr="0086769A">
            <w:rPr>
              <w:color w:val="000000"/>
            </w:rPr>
            <w:t>(Bird &amp; Zolt, 2021)</w:t>
          </w:r>
        </w:sdtContent>
      </w:sdt>
      <w:r w:rsidRPr="00BD5C66">
        <w:rPr>
          <w:lang w:val="en-US"/>
        </w:rPr>
        <w:t>.</w:t>
      </w:r>
    </w:p>
    <w:p w14:paraId="014613DA" w14:textId="65F31205" w:rsidR="00BD5C66" w:rsidRPr="00BD5C66" w:rsidRDefault="00BD5C66" w:rsidP="00BD5C66">
      <w:pPr>
        <w:spacing w:before="240" w:after="240" w:line="360" w:lineRule="auto"/>
        <w:ind w:firstLine="420"/>
        <w:jc w:val="both"/>
        <w:textDirection w:val="btLr"/>
        <w:rPr>
          <w:lang w:val="en-US"/>
        </w:rPr>
      </w:pPr>
      <w:r w:rsidRPr="00BD5C66">
        <w:rPr>
          <w:lang w:val="en-US"/>
        </w:rPr>
        <w:t xml:space="preserve">As an alternative, Islamic economics offers a fiscal policy framework that is not only oriented toward economic efficiency but also toward distributive justice rooted in the principles of </w:t>
      </w:r>
      <w:proofErr w:type="spellStart"/>
      <w:r w:rsidRPr="00BD5C66">
        <w:rPr>
          <w:lang w:val="en-US"/>
        </w:rPr>
        <w:t>maqāṣid</w:t>
      </w:r>
      <w:proofErr w:type="spellEnd"/>
      <w:r w:rsidRPr="00BD5C66">
        <w:rPr>
          <w:lang w:val="en-US"/>
        </w:rPr>
        <w:t xml:space="preserve"> al-</w:t>
      </w:r>
      <w:proofErr w:type="spellStart"/>
      <w:r w:rsidRPr="00BD5C66">
        <w:rPr>
          <w:lang w:val="en-US"/>
        </w:rPr>
        <w:t>sharī‘ah</w:t>
      </w:r>
      <w:proofErr w:type="spellEnd"/>
      <w:r w:rsidRPr="00BD5C66">
        <w:rPr>
          <w:lang w:val="en-US"/>
        </w:rPr>
        <w:t xml:space="preserve">. Zakat, as the primary instrument in </w:t>
      </w:r>
      <w:r w:rsidRPr="00BD5C66">
        <w:rPr>
          <w:lang w:val="en-US"/>
        </w:rPr>
        <w:lastRenderedPageBreak/>
        <w:t>the Islamic fiscal system, possesses characteristics that differ fundamentally from taxation in terms of its normative foundation, distribution mechanism, and social objectives. Zakat is religiously obligatory and is directly distributed to designated beneficiaries (</w:t>
      </w:r>
      <w:proofErr w:type="spellStart"/>
      <w:r w:rsidRPr="00BD5C66">
        <w:rPr>
          <w:lang w:val="en-US"/>
        </w:rPr>
        <w:t>mustahiq</w:t>
      </w:r>
      <w:proofErr w:type="spellEnd"/>
      <w:r w:rsidRPr="00BD5C66">
        <w:rPr>
          <w:lang w:val="en-US"/>
        </w:rPr>
        <w:t xml:space="preserve">), thereby holding greater potential for achieving social justice </w:t>
      </w:r>
      <w:sdt>
        <w:sdtPr>
          <w:rPr>
            <w:color w:val="000000"/>
            <w:lang w:val="en-US"/>
          </w:rPr>
          <w:tag w:val="MENDELEY_CITATION_v3_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"/>
          <w:id w:val="2004469155"/>
          <w:placeholder>
            <w:docPart w:val="DefaultPlaceholder_-1854013440"/>
          </w:placeholder>
        </w:sdtPr>
        <w:sdtContent>
          <w:r w:rsidR="0086769A" w:rsidRPr="0086769A">
            <w:rPr>
              <w:color w:val="000000"/>
              <w:lang w:val="en-US"/>
            </w:rPr>
            <w:t>(</w:t>
          </w:r>
          <w:proofErr w:type="spellStart"/>
          <w:r w:rsidR="0086769A" w:rsidRPr="0086769A">
            <w:rPr>
              <w:color w:val="000000"/>
              <w:lang w:val="en-US"/>
            </w:rPr>
            <w:t>Ascarya</w:t>
          </w:r>
          <w:proofErr w:type="spellEnd"/>
          <w:r w:rsidR="0086769A" w:rsidRPr="0086769A">
            <w:rPr>
              <w:color w:val="000000"/>
              <w:lang w:val="en-US"/>
            </w:rPr>
            <w:t>, 2022)</w:t>
          </w:r>
        </w:sdtContent>
      </w:sdt>
      <w:r w:rsidRPr="00BD5C66">
        <w:rPr>
          <w:lang w:val="en-US"/>
        </w:rPr>
        <w:t xml:space="preserve">. Data from the National Amil Zakat Agency (BAZNAS) indicate that the potential of zakat in Indonesia exceeds IDR 300 trillion annually; however, its actual collection remains below 10% of this potential </w:t>
      </w:r>
      <w:sdt>
        <w:sdtPr>
          <w:rPr>
            <w:color w:val="000000"/>
            <w:lang w:val="en-US"/>
          </w:rPr>
          <w:tag w:val="MENDELEY_CITATION_v3_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"/>
          <w:id w:val="1588719884"/>
          <w:placeholder>
            <w:docPart w:val="DefaultPlaceholder_-1854013440"/>
          </w:placeholder>
        </w:sdtPr>
        <w:sdtContent>
          <w:r w:rsidR="0086769A" w:rsidRPr="0086769A">
            <w:rPr>
              <w:color w:val="000000"/>
              <w:lang w:val="en-US"/>
            </w:rPr>
            <w:t>((BAZNAS), 2023)</w:t>
          </w:r>
        </w:sdtContent>
      </w:sdt>
      <w:r w:rsidRPr="00BD5C66">
        <w:rPr>
          <w:lang w:val="en-US"/>
        </w:rPr>
        <w:t>. This gap between potential and realization highlights structural challenges in zakat management while also opening space for a deeper examination of its role within the fiscal system.</w:t>
      </w:r>
    </w:p>
    <w:p w14:paraId="78744A50" w14:textId="473107A1" w:rsidR="00BD5C66" w:rsidRPr="00BD5C66" w:rsidRDefault="00BD5C66" w:rsidP="00BD5C66">
      <w:pPr>
        <w:spacing w:before="240" w:after="240" w:line="360" w:lineRule="auto"/>
        <w:ind w:firstLine="420"/>
        <w:jc w:val="both"/>
        <w:textDirection w:val="btLr"/>
        <w:rPr>
          <w:lang w:val="en-US"/>
        </w:rPr>
      </w:pPr>
      <w:r w:rsidRPr="00BD5C66">
        <w:rPr>
          <w:lang w:val="en-US"/>
        </w:rPr>
        <w:t xml:space="preserve">At the global level, the discourse on the comparison between Islamic and conventional fiscal policies has been widely explored in academic studies. Research by Hassan et al. </w:t>
      </w:r>
      <w:sdt>
        <w:sdtPr>
          <w:rPr>
            <w:color w:val="000000"/>
            <w:lang w:val="en-US"/>
          </w:rPr>
          <w:tag w:val="MENDELEY_CITATION_v3_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"/>
          <w:id w:val="632377211"/>
          <w:placeholder>
            <w:docPart w:val="DefaultPlaceholder_-1854013440"/>
          </w:placeholder>
        </w:sdtPr>
        <w:sdtContent>
          <w:r w:rsidR="0086769A" w:rsidRPr="0086769A">
            <w:rPr>
              <w:color w:val="000000"/>
              <w:lang w:val="en-US"/>
            </w:rPr>
            <w:t>(2022)</w:t>
          </w:r>
        </w:sdtContent>
      </w:sdt>
      <w:r w:rsidRPr="00BD5C66">
        <w:rPr>
          <w:lang w:val="en-US"/>
        </w:rPr>
        <w:t xml:space="preserve"> demonstrates that the Islamic fiscal system has advantages in terms of social justice, as it integrates moral and economic dimensions simultaneously. Meanwhile, Thaker et al. </w:t>
      </w:r>
      <w:sdt>
        <w:sdtPr>
          <w:rPr>
            <w:color w:val="000000"/>
            <w:lang w:val="en-US"/>
          </w:rPr>
          <w:tag w:val="MENDELEY_CITATION_v3_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"/>
          <w:id w:val="-942373202"/>
          <w:placeholder>
            <w:docPart w:val="DefaultPlaceholder_-1854013440"/>
          </w:placeholder>
        </w:sdtPr>
        <w:sdtContent>
          <w:r w:rsidR="0086769A" w:rsidRPr="0086769A">
            <w:rPr>
              <w:color w:val="000000"/>
              <w:lang w:val="en-US"/>
            </w:rPr>
            <w:t>(2021)</w:t>
          </w:r>
        </w:sdtContent>
      </w:sdt>
      <w:r w:rsidRPr="00BD5C66">
        <w:rPr>
          <w:lang w:val="en-US"/>
        </w:rPr>
        <w:t xml:space="preserve"> emphasize that zakat can function as an effective redistributive instrument, particularly in the context of poverty alleviation. On the other hand, the conventional fiscal system retains advantages in terms of policy flexibility and its capacity to manage macroeconomic conditions on a large scale </w:t>
      </w:r>
      <w:sdt>
        <w:sdtPr>
          <w:rPr>
            <w:color w:val="000000"/>
            <w:lang w:val="en-US"/>
          </w:rPr>
          <w:tag w:val="MENDELEY_CITATION_v3_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"/>
          <w:id w:val="-2049899999"/>
          <w:placeholder>
            <w:docPart w:val="DefaultPlaceholder_-1854013440"/>
          </w:placeholder>
        </w:sdtPr>
        <w:sdtContent>
          <w:r w:rsidR="0086769A" w:rsidRPr="0086769A">
            <w:rPr>
              <w:color w:val="000000"/>
            </w:rPr>
            <w:t>(Auerbach &amp; Gorodnichenko, 2020; Musonif, Baeti, et al., 2026)</w:t>
          </w:r>
        </w:sdtContent>
      </w:sdt>
      <w:r w:rsidRPr="00BD5C66">
        <w:rPr>
          <w:lang w:val="en-US"/>
        </w:rPr>
        <w:t>.</w:t>
      </w:r>
    </w:p>
    <w:p w14:paraId="2053E124" w14:textId="035419F9" w:rsidR="00BD5C66" w:rsidRPr="00BD5C66" w:rsidRDefault="00BD5C66" w:rsidP="00BD5C66">
      <w:pPr>
        <w:spacing w:before="240" w:after="240" w:line="360" w:lineRule="auto"/>
        <w:ind w:firstLine="420"/>
        <w:jc w:val="both"/>
        <w:textDirection w:val="btLr"/>
        <w:rPr>
          <w:lang w:val="en-US"/>
        </w:rPr>
      </w:pPr>
      <w:r w:rsidRPr="00BD5C66">
        <w:rPr>
          <w:lang w:val="en-US"/>
        </w:rPr>
        <w:t xml:space="preserve">Nevertheless, most previous studies tend to be normative and descriptive, focusing primarily on conceptual differences between zakat and taxation as fiscal instruments. These studies generally position zakat and taxation within a dichotomous framework without sufficiently exploring how fiscal justice is constructed, interpreted, and negotiated within policy practices </w:t>
      </w:r>
      <w:sdt>
        <w:sdtPr>
          <w:rPr>
            <w:color w:val="000000"/>
            <w:lang w:val="en-US"/>
          </w:rPr>
          <w:tag w:val="MENDELEY_CITATION_v3_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"/>
          <w:id w:val="1144855134"/>
          <w:placeholder>
            <w:docPart w:val="DefaultPlaceholder_-1854013440"/>
          </w:placeholder>
        </w:sdtPr>
        <w:sdtContent>
          <w:r w:rsidR="0086769A" w:rsidRPr="0086769A">
            <w:rPr>
              <w:color w:val="000000"/>
              <w:lang w:val="en-US"/>
            </w:rPr>
            <w:t>(Aziz, 2023)</w:t>
          </w:r>
        </w:sdtContent>
      </w:sdt>
      <w:r w:rsidRPr="00BD5C66">
        <w:rPr>
          <w:lang w:val="en-US"/>
        </w:rPr>
        <w:t xml:space="preserve">. In fact, within the context of public policy, fiscal justice is not only related to the </w:t>
      </w:r>
      <w:r w:rsidRPr="00BD5C66">
        <w:rPr>
          <w:lang w:val="en-US"/>
        </w:rPr>
        <w:lastRenderedPageBreak/>
        <w:t>objective distribution of resources but also to perceptions, legitimacy, and the social experiences associated with such policies.</w:t>
      </w:r>
    </w:p>
    <w:p w14:paraId="4CF0EDAE" w14:textId="3DA48FDF" w:rsidR="00BD5C66" w:rsidRPr="00BD5C66" w:rsidRDefault="00BD5C66" w:rsidP="00BD5C66">
      <w:pPr>
        <w:spacing w:before="240" w:after="240" w:line="360" w:lineRule="auto"/>
        <w:ind w:firstLine="420"/>
        <w:jc w:val="both"/>
        <w:textDirection w:val="btLr"/>
        <w:rPr>
          <w:lang w:val="en-US"/>
        </w:rPr>
      </w:pPr>
      <w:r w:rsidRPr="00BD5C66">
        <w:rPr>
          <w:lang w:val="en-US"/>
        </w:rPr>
        <w:t xml:space="preserve">Furthermore, the methodological approaches employed in prior studies are predominantly quantitative, limiting their ability to capture the complexity of the phenomenon in depth. Quantitative approaches tend to focus on measuring impacts, such as the effect of zakat on poverty or the contribution of taxation to state revenue, but are less capable of explaining how policy actors understand and interpret the concept of fiscal justice itself </w:t>
      </w:r>
      <w:sdt>
        <w:sdtPr>
          <w:rPr>
            <w:color w:val="000000"/>
            <w:lang w:val="en-US"/>
          </w:rPr>
          <w:tag w:val="MENDELEY_CITATION_v3_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"/>
          <w:id w:val="-427882521"/>
          <w:placeholder>
            <w:docPart w:val="DefaultPlaceholder_-1854013440"/>
          </w:placeholder>
        </w:sdtPr>
        <w:sdtContent>
          <w:r w:rsidR="0086769A" w:rsidRPr="0086769A">
            <w:rPr>
              <w:color w:val="000000"/>
            </w:rPr>
            <w:t>(Kasri &amp; Putri, 2020)</w:t>
          </w:r>
        </w:sdtContent>
      </w:sdt>
      <w:r w:rsidRPr="00BD5C66">
        <w:rPr>
          <w:lang w:val="en-US"/>
        </w:rPr>
        <w:t>. In this regard, a qualitative approach becomes essential to explore the interpretative dimensions that have largely been overlooked, including how values of justice are constructed within both Islamic and conventional fiscal policies.</w:t>
      </w:r>
    </w:p>
    <w:p w14:paraId="51DB109D" w14:textId="01FCDA39" w:rsidR="00BD5C66" w:rsidRPr="00BD5C66" w:rsidRDefault="00BD5C66" w:rsidP="00BD5C66">
      <w:pPr>
        <w:spacing w:before="240" w:after="240" w:line="360" w:lineRule="auto"/>
        <w:ind w:firstLine="420"/>
        <w:jc w:val="both"/>
        <w:textDirection w:val="btLr"/>
        <w:rPr>
          <w:lang w:val="en-US"/>
        </w:rPr>
      </w:pPr>
      <w:r w:rsidRPr="00BD5C66">
        <w:rPr>
          <w:lang w:val="en-US"/>
        </w:rPr>
        <w:t xml:space="preserve">In the Indonesian context, the issue of integrating zakat and taxation within the national fiscal system also reflects complex dynamics. Policies that recognize zakat as a tax deduction represent an initial step toward integrating these two instruments; however, their implementation still faces several challenges, including low public literacy, institutional limitations, and differing perceptions regarding the obligations of zakat and taxation </w:t>
      </w:r>
      <w:sdt>
        <w:sdtPr>
          <w:rPr>
            <w:color w:val="000000"/>
            <w:lang w:val="en-US"/>
          </w:rPr>
          <w:tag w:val="MENDELEY_CITATION_v3_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"/>
          <w:id w:val="1998296370"/>
          <w:placeholder>
            <w:docPart w:val="DefaultPlaceholder_-1854013440"/>
          </w:placeholder>
        </w:sdtPr>
        <w:sdtContent>
          <w:r w:rsidR="0086769A" w:rsidRPr="0086769A">
            <w:rPr>
              <w:color w:val="000000"/>
            </w:rPr>
            <w:t>(Firdaus et al., 2021; Musonif &amp; Azis, 2026)</w:t>
          </w:r>
        </w:sdtContent>
      </w:sdt>
      <w:r w:rsidRPr="00BD5C66">
        <w:rPr>
          <w:lang w:val="en-US"/>
        </w:rPr>
        <w:t xml:space="preserve">. Moreover, there are fundamental differences in how society perceives these instruments, where zakat is viewed as a moral and religious obligation, while taxation is perceived as an administrative and coercive duty </w:t>
      </w:r>
      <w:sdt>
        <w:sdtPr>
          <w:rPr>
            <w:color w:val="000000"/>
            <w:lang w:val="en-US"/>
          </w:rPr>
          <w:tag w:val="MENDELEY_CITATION_v3_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"/>
          <w:id w:val="254873238"/>
          <w:placeholder>
            <w:docPart w:val="DefaultPlaceholder_-1854013440"/>
          </w:placeholder>
        </w:sdtPr>
        <w:sdtContent>
          <w:r w:rsidR="0086769A" w:rsidRPr="0086769A">
            <w:rPr>
              <w:color w:val="000000"/>
            </w:rPr>
            <w:t>(Yusuf &amp; Derus, 2022)</w:t>
          </w:r>
        </w:sdtContent>
      </w:sdt>
      <w:r w:rsidRPr="00BD5C66">
        <w:rPr>
          <w:lang w:val="en-US"/>
        </w:rPr>
        <w:t>. These differences in meaning have implications for compliance levels and the overall legitimacy of fiscal policy.</w:t>
      </w:r>
    </w:p>
    <w:p w14:paraId="5C194028" w14:textId="0D8B9F92" w:rsidR="00BD5C66" w:rsidRPr="00BD5C66" w:rsidRDefault="00BD5C66" w:rsidP="00BD5C66">
      <w:pPr>
        <w:spacing w:before="240" w:after="240" w:line="360" w:lineRule="auto"/>
        <w:ind w:firstLine="420"/>
        <w:jc w:val="both"/>
        <w:textDirection w:val="btLr"/>
        <w:rPr>
          <w:lang w:val="en-US"/>
        </w:rPr>
      </w:pPr>
      <w:r w:rsidRPr="00BD5C66">
        <w:rPr>
          <w:lang w:val="en-US"/>
        </w:rPr>
        <w:t xml:space="preserve">Based on the above discussion, a significant research gap can be identified, namely the lack of studies that explore the construction of fiscal justice within </w:t>
      </w:r>
      <w:r w:rsidRPr="00BD5C66">
        <w:rPr>
          <w:lang w:val="en-US"/>
        </w:rPr>
        <w:lastRenderedPageBreak/>
        <w:t xml:space="preserve">Islamic and conventional fiscal policies from a comparative perspective. Previous research has not sufficiently examined how the concept of justice is understood, internalized, and implemented by various actors within the context of fiscal policy. In addition, the use of thematic analysis as a systematic qualitative method remains very limited in this field, despite its potential to uncover underlying patterns of meaning within the data </w:t>
      </w:r>
      <w:sdt>
        <w:sdtPr>
          <w:rPr>
            <w:color w:val="000000"/>
            <w:lang w:val="en-US"/>
          </w:rPr>
          <w:tag w:val="MENDELEY_CITATION_v3_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"/>
          <w:id w:val="1768045271"/>
          <w:placeholder>
            <w:docPart w:val="DefaultPlaceholder_-1854013440"/>
          </w:placeholder>
        </w:sdtPr>
        <w:sdtContent>
          <w:r w:rsidR="0086769A" w:rsidRPr="0086769A">
            <w:rPr>
              <w:color w:val="000000"/>
            </w:rPr>
            <w:t>(Braun &amp; Clarke, 2021)</w:t>
          </w:r>
        </w:sdtContent>
      </w:sdt>
      <w:r w:rsidRPr="00BD5C66">
        <w:rPr>
          <w:lang w:val="en-US"/>
        </w:rPr>
        <w:t>.</w:t>
      </w:r>
    </w:p>
    <w:p w14:paraId="4FBF38AA" w14:textId="77777777" w:rsidR="00BD5C66" w:rsidRPr="00BD5C66" w:rsidRDefault="00BD5C66" w:rsidP="00BD5C66">
      <w:pPr>
        <w:spacing w:before="240" w:after="240" w:line="360" w:lineRule="auto"/>
        <w:ind w:firstLine="420"/>
        <w:jc w:val="both"/>
        <w:textDirection w:val="btLr"/>
        <w:rPr>
          <w:lang w:val="en-US"/>
        </w:rPr>
      </w:pPr>
      <w:r w:rsidRPr="00BD5C66">
        <w:rPr>
          <w:lang w:val="en-US"/>
        </w:rPr>
        <w:t>Accordingly, this study is guided by the following research questions: how do Islamic and conventional fiscal policies represent the concept of fiscal justice; how are zakat and taxation interpreted as instruments of distribution within each system; and how is the construction of fiscal justice formed within the policy discourse surrounding these instruments. These questions are designed to explore meanings, processes, and social dynamics that cannot be adequately explained through quantitative approaches.</w:t>
      </w:r>
    </w:p>
    <w:p w14:paraId="75EDAE71" w14:textId="77777777" w:rsidR="00BD5C66" w:rsidRPr="00BD5C66" w:rsidRDefault="00BD5C66" w:rsidP="00BD5C66">
      <w:pPr>
        <w:spacing w:before="240" w:after="240" w:line="360" w:lineRule="auto"/>
        <w:ind w:firstLine="420"/>
        <w:jc w:val="both"/>
        <w:textDirection w:val="btLr"/>
        <w:rPr>
          <w:lang w:val="en-US"/>
        </w:rPr>
      </w:pPr>
      <w:r w:rsidRPr="00BD5C66">
        <w:rPr>
          <w:lang w:val="en-US"/>
        </w:rPr>
        <w:t>This study aims to deepen the understanding of fiscal justice through a thematic analysis of Islamic and conventional fiscal policies, with a particular focus on the comparison between zakat and taxation. Specifically, it seeks to identify thematic patterns in the construction of fiscal justice, analyze similarities and differences in the meanings produced, and examine their implications for fiscal policy practices.</w:t>
      </w:r>
    </w:p>
    <w:p w14:paraId="3A4A1957" w14:textId="77777777" w:rsidR="00BD5C66" w:rsidRDefault="00BD5C66" w:rsidP="00BD5C66">
      <w:pPr>
        <w:spacing w:before="240" w:after="240" w:line="360" w:lineRule="auto"/>
        <w:ind w:firstLine="420"/>
        <w:jc w:val="both"/>
        <w:textDirection w:val="btLr"/>
        <w:rPr>
          <w:lang w:val="en-US"/>
        </w:rPr>
      </w:pPr>
      <w:r w:rsidRPr="00BD5C66">
        <w:rPr>
          <w:lang w:val="en-US"/>
        </w:rPr>
        <w:t xml:space="preserve">Academically, this study is expected to contribute to enriching the fields of Islamic economics and public policy, particularly in understanding the interpretative dimensions of fiscal policy that have received limited attention. By employing thematic analysis, this research also contributes to methodological development in fiscal policy studies and opens avenues for more contextual and in-depth future research. Furthermore, the findings are expected to provide new </w:t>
      </w:r>
      <w:r w:rsidRPr="00BD5C66">
        <w:rPr>
          <w:lang w:val="en-US"/>
        </w:rPr>
        <w:lastRenderedPageBreak/>
        <w:t>perspectives in the discourse on zakat and taxation integration and serve as a reference for policymakers in designing a more just, inclusive, and sustainable fiscal system.</w:t>
      </w:r>
    </w:p>
    <w:p w14:paraId="5022D299" w14:textId="74DC8E9F" w:rsidR="00200A6B" w:rsidRPr="00200A6B" w:rsidRDefault="003B1197" w:rsidP="00200A6B">
      <w:pPr>
        <w:pStyle w:val="Heading2"/>
        <w:numPr>
          <w:ilvl w:val="0"/>
          <w:numId w:val="1"/>
        </w:numPr>
        <w:spacing w:before="0" w:line="360" w:lineRule="auto"/>
        <w:ind w:left="426" w:hanging="426"/>
        <w:jc w:val="both"/>
        <w:textDirection w:val="btLr"/>
      </w:pPr>
      <w:r>
        <w:rPr>
          <w:lang w:val="en-US"/>
        </w:rPr>
        <w:t>PEMBAHASAN</w:t>
      </w:r>
    </w:p>
    <w:p w14:paraId="62F61850" w14:textId="77777777" w:rsidR="00200A6B" w:rsidRPr="00200A6B" w:rsidRDefault="00200A6B" w:rsidP="00200A6B">
      <w:pPr>
        <w:spacing w:before="240" w:after="240" w:line="312" w:lineRule="auto"/>
        <w:ind w:left="425" w:firstLine="425"/>
        <w:jc w:val="both"/>
        <w:textDirection w:val="btLr"/>
        <w:rPr>
          <w:lang w:val="en-US"/>
        </w:rPr>
      </w:pPr>
      <w:r w:rsidRPr="00200A6B">
        <w:rPr>
          <w:lang w:val="en-US"/>
        </w:rPr>
        <w:t>The findings of this study are organized based on thematic analysis of various fiscal policy documents, institutional reports, and relevant academic literature. Through the processes of coding and data categorization, several key themes were identified that represent the construction of fiscal justice in Islamic and conventional fiscal policies, particularly in the context of zakat and taxation. These themes reflect how fiscal justice is not merely understood as economic distribution, but also as the outcome of distinct normative, administrative, and social processes within each system.</w:t>
      </w:r>
    </w:p>
    <w:p w14:paraId="160FA203" w14:textId="77777777" w:rsidR="00200A6B" w:rsidRDefault="00200A6B" w:rsidP="00200A6B">
      <w:pPr>
        <w:pStyle w:val="Heading2"/>
        <w:numPr>
          <w:ilvl w:val="1"/>
          <w:numId w:val="1"/>
        </w:numPr>
        <w:spacing w:before="0" w:line="312" w:lineRule="auto"/>
        <w:ind w:left="426" w:hanging="426"/>
        <w:jc w:val="both"/>
        <w:textDirection w:val="btLr"/>
        <w:rPr>
          <w:lang w:val="en-US"/>
        </w:rPr>
      </w:pPr>
      <w:r w:rsidRPr="00200A6B">
        <w:rPr>
          <w:lang w:val="en-US"/>
        </w:rPr>
        <w:t>Justice as Moral Obligation versus Administrative Obligation</w:t>
      </w:r>
    </w:p>
    <w:p w14:paraId="70C7049C" w14:textId="03ACE440" w:rsidR="00200A6B" w:rsidRPr="00200A6B" w:rsidRDefault="00200A6B" w:rsidP="00200A6B">
      <w:pPr>
        <w:spacing w:before="240" w:after="240" w:line="312" w:lineRule="auto"/>
        <w:ind w:left="425" w:firstLine="425"/>
        <w:jc w:val="both"/>
        <w:textDirection w:val="btLr"/>
        <w:rPr>
          <w:lang w:val="en-US"/>
        </w:rPr>
      </w:pPr>
      <w:r w:rsidRPr="00200A6B">
        <w:rPr>
          <w:lang w:val="en-US"/>
        </w:rPr>
        <w:t xml:space="preserve">The first emerging theme reveals a fundamental difference in how fiscal justice is interpreted as an obligation. In the zakat system, fiscal justice is constructed as a moral-religious obligation inherent to individuals as part of their spiritual devotion. This is reflected in various zakat-related documents, which emphasize that zakat is “an obligation that must be fulfilled by every eligible Muslim as a form of social responsibility and worship to Allah” </w:t>
      </w:r>
      <w:sdt>
        <w:sdtPr>
          <w:rPr>
            <w:color w:val="000000"/>
            <w:lang w:val="en-US"/>
          </w:rPr>
          <w:tag w:val="MENDELEY_CITATION_v3_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"/>
          <w:id w:val="1269276701"/>
          <w:placeholder>
            <w:docPart w:val="DefaultPlaceholder_-1854013440"/>
          </w:placeholder>
        </w:sdtPr>
        <w:sdtContent>
          <w:r w:rsidR="0086769A" w:rsidRPr="0086769A">
            <w:rPr>
              <w:color w:val="000000"/>
              <w:lang w:val="en-US"/>
            </w:rPr>
            <w:t>((BAZNAS), 2023)</w:t>
          </w:r>
        </w:sdtContent>
      </w:sdt>
      <w:r w:rsidRPr="00200A6B">
        <w:rPr>
          <w:lang w:val="en-US"/>
        </w:rPr>
        <w:t>.</w:t>
      </w:r>
    </w:p>
    <w:p w14:paraId="1E08C55E" w14:textId="07CDCA1B" w:rsidR="00200A6B" w:rsidRPr="00200A6B" w:rsidRDefault="00200A6B" w:rsidP="00200A6B">
      <w:pPr>
        <w:spacing w:before="240" w:after="240" w:line="312" w:lineRule="auto"/>
        <w:ind w:left="425" w:firstLine="425"/>
        <w:jc w:val="both"/>
        <w:textDirection w:val="btLr"/>
        <w:rPr>
          <w:lang w:val="en-US"/>
        </w:rPr>
      </w:pPr>
      <w:r w:rsidRPr="00200A6B">
        <w:rPr>
          <w:lang w:val="en-US"/>
        </w:rPr>
        <w:t xml:space="preserve">In contrast, within the taxation system, fiscal justice is positioned as an administrative obligation regulated by the state. In taxation policy documents, tax is defined as “a mandatory contribution to the state that is coercive in nature under the law, without direct compensation” </w:t>
      </w:r>
      <w:sdt>
        <w:sdtPr>
          <w:rPr>
            <w:color w:val="000000"/>
            <w:lang w:val="en-US"/>
          </w:rPr>
          <w:tag w:val="MENDELEY_CITATION_v3_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"/>
          <w:id w:val="802505979"/>
          <w:placeholder>
            <w:docPart w:val="DefaultPlaceholder_-1854013440"/>
          </w:placeholder>
        </w:sdtPr>
        <w:sdtContent>
          <w:r w:rsidR="0086769A" w:rsidRPr="0086769A">
            <w:rPr>
              <w:color w:val="000000"/>
            </w:rPr>
            <w:t>(Yusuf &amp; Derus, 2022)</w:t>
          </w:r>
        </w:sdtContent>
      </w:sdt>
      <w:r w:rsidRPr="00200A6B">
        <w:rPr>
          <w:lang w:val="en-US"/>
        </w:rPr>
        <w:t>. The phrase “coercive in nature” indicates that the legitimacy of taxation relies more on state authority than on individual moral awareness.</w:t>
      </w:r>
    </w:p>
    <w:p w14:paraId="518861D1" w14:textId="77777777" w:rsidR="00200A6B" w:rsidRPr="00200A6B" w:rsidRDefault="00200A6B" w:rsidP="00200A6B">
      <w:pPr>
        <w:spacing w:before="240" w:after="240" w:line="312" w:lineRule="auto"/>
        <w:ind w:left="425" w:firstLine="425"/>
        <w:jc w:val="both"/>
        <w:textDirection w:val="btLr"/>
        <w:rPr>
          <w:lang w:val="en-US"/>
        </w:rPr>
      </w:pPr>
      <w:r w:rsidRPr="00200A6B">
        <w:rPr>
          <w:lang w:val="en-US"/>
        </w:rPr>
        <w:lastRenderedPageBreak/>
        <w:t>This distinction demonstrates that, in practice, fiscal justice in zakat is built through internal awareness, whereas in taxation it is shaped through external regulatory mechanisms.</w:t>
      </w:r>
    </w:p>
    <w:p w14:paraId="781D7161" w14:textId="77777777" w:rsidR="00200A6B" w:rsidRDefault="00200A6B" w:rsidP="00200A6B">
      <w:pPr>
        <w:pStyle w:val="Heading2"/>
        <w:numPr>
          <w:ilvl w:val="1"/>
          <w:numId w:val="1"/>
        </w:numPr>
        <w:spacing w:before="0" w:line="312" w:lineRule="auto"/>
        <w:ind w:left="426" w:hanging="426"/>
        <w:jc w:val="both"/>
        <w:textDirection w:val="btLr"/>
        <w:rPr>
          <w:lang w:val="en-US"/>
        </w:rPr>
      </w:pPr>
      <w:r w:rsidRPr="00200A6B">
        <w:rPr>
          <w:lang w:val="en-US"/>
        </w:rPr>
        <w:t>Direct Distribution versus Indirect Distribution</w:t>
      </w:r>
    </w:p>
    <w:p w14:paraId="1C938A01" w14:textId="408A34E0" w:rsidR="00200A6B" w:rsidRPr="00200A6B" w:rsidRDefault="00200A6B" w:rsidP="00200A6B">
      <w:pPr>
        <w:spacing w:before="240" w:after="240" w:line="312" w:lineRule="auto"/>
        <w:ind w:left="425" w:firstLine="425"/>
        <w:jc w:val="both"/>
        <w:textDirection w:val="btLr"/>
        <w:rPr>
          <w:lang w:val="en-US"/>
        </w:rPr>
      </w:pPr>
      <w:r w:rsidRPr="00200A6B">
        <w:rPr>
          <w:lang w:val="en-US"/>
        </w:rPr>
        <w:t>The second theme relates to the mechanisms of resource distribution. In the zakat system, distribution is carried out directly to designated beneficiaries (</w:t>
      </w:r>
      <w:proofErr w:type="spellStart"/>
      <w:r w:rsidRPr="00200A6B">
        <w:rPr>
          <w:lang w:val="en-US"/>
        </w:rPr>
        <w:t>mustahiq</w:t>
      </w:r>
      <w:proofErr w:type="spellEnd"/>
      <w:r w:rsidRPr="00200A6B">
        <w:rPr>
          <w:lang w:val="en-US"/>
        </w:rPr>
        <w:t xml:space="preserve">), such as the poor, the needy, and other vulnerable groups. Zakat management reports indicate that distribution is focused on need-based programs, including consumptive assistance, economic empowerment, and education </w:t>
      </w:r>
      <w:sdt>
        <w:sdtPr>
          <w:rPr>
            <w:color w:val="000000"/>
            <w:lang w:val="en-US"/>
          </w:rPr>
          <w:tag w:val="MENDELEY_CITATION_v3_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"/>
          <w:id w:val="1833334415"/>
          <w:placeholder>
            <w:docPart w:val="DefaultPlaceholder_-1854013440"/>
          </w:placeholder>
        </w:sdtPr>
        <w:sdtContent>
          <w:r w:rsidR="0086769A" w:rsidRPr="0086769A">
            <w:rPr>
              <w:color w:val="000000"/>
              <w:lang w:val="en-US"/>
            </w:rPr>
            <w:t>((BAZNAS), 2023)</w:t>
          </w:r>
        </w:sdtContent>
      </w:sdt>
      <w:r w:rsidRPr="00200A6B">
        <w:rPr>
          <w:lang w:val="en-US"/>
        </w:rPr>
        <w:t>.</w:t>
      </w:r>
    </w:p>
    <w:p w14:paraId="63221444" w14:textId="5368B4B5" w:rsidR="00200A6B" w:rsidRPr="00200A6B" w:rsidRDefault="00200A6B" w:rsidP="00200A6B">
      <w:pPr>
        <w:spacing w:before="240" w:after="240" w:line="312" w:lineRule="auto"/>
        <w:ind w:left="425" w:firstLine="425"/>
        <w:jc w:val="both"/>
        <w:textDirection w:val="btLr"/>
        <w:rPr>
          <w:lang w:val="en-US"/>
        </w:rPr>
      </w:pPr>
      <w:r w:rsidRPr="00200A6B">
        <w:rPr>
          <w:lang w:val="en-US"/>
        </w:rPr>
        <w:t xml:space="preserve">Conversely, in the taxation system, distribution occurs through a more complex state budgeting mechanism. Tax revenues are allocated across various sectors, such as infrastructure, education, and healthcare, and their benefits are not always directly perceived by individual taxpayers. In state budget reports, fiscal distribution is described as a resource allocation process aimed at broad and long-term public interests </w:t>
      </w:r>
      <w:sdt>
        <w:sdtPr>
          <w:rPr>
            <w:color w:val="000000"/>
            <w:lang w:val="en-US"/>
          </w:rPr>
          <w:tag w:val="MENDELEY_CITATION_v3_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"/>
          <w:id w:val="28001539"/>
          <w:placeholder>
            <w:docPart w:val="DefaultPlaceholder_-1854013440"/>
          </w:placeholder>
        </w:sdtPr>
        <w:sdtContent>
          <w:r w:rsidR="0086769A" w:rsidRPr="0086769A">
            <w:rPr>
              <w:color w:val="000000"/>
            </w:rPr>
            <w:t>(Indonesia, 2023)</w:t>
          </w:r>
        </w:sdtContent>
      </w:sdt>
      <w:r w:rsidRPr="00200A6B">
        <w:rPr>
          <w:lang w:val="en-US"/>
        </w:rPr>
        <w:t>.</w:t>
      </w:r>
    </w:p>
    <w:p w14:paraId="2D704E9E" w14:textId="77777777" w:rsidR="00200A6B" w:rsidRPr="00200A6B" w:rsidRDefault="00200A6B" w:rsidP="00200A6B">
      <w:pPr>
        <w:spacing w:before="240" w:after="240" w:line="312" w:lineRule="auto"/>
        <w:ind w:left="425" w:firstLine="425"/>
        <w:jc w:val="both"/>
        <w:textDirection w:val="btLr"/>
        <w:rPr>
          <w:lang w:val="en-US"/>
        </w:rPr>
      </w:pPr>
      <w:r w:rsidRPr="00200A6B">
        <w:rPr>
          <w:lang w:val="en-US"/>
        </w:rPr>
        <w:t>This difference indicates that justice in zakat is more direct and targeted, while in taxation it is indirect and dependent on broader policy processes.</w:t>
      </w:r>
    </w:p>
    <w:p w14:paraId="4884DC0A" w14:textId="77777777" w:rsidR="00200A6B" w:rsidRDefault="00200A6B" w:rsidP="00200A6B">
      <w:pPr>
        <w:pStyle w:val="Heading2"/>
        <w:numPr>
          <w:ilvl w:val="1"/>
          <w:numId w:val="1"/>
        </w:numPr>
        <w:spacing w:before="0" w:line="312" w:lineRule="auto"/>
        <w:ind w:left="426" w:hanging="426"/>
        <w:jc w:val="both"/>
        <w:textDirection w:val="btLr"/>
        <w:rPr>
          <w:lang w:val="en-US"/>
        </w:rPr>
      </w:pPr>
      <w:r w:rsidRPr="00200A6B">
        <w:rPr>
          <w:lang w:val="en-US"/>
        </w:rPr>
        <w:t>Need-Based Justice versus Ability-Based Justice</w:t>
      </w:r>
    </w:p>
    <w:p w14:paraId="2BFA40E7" w14:textId="77777777" w:rsidR="00200A6B" w:rsidRPr="00200A6B" w:rsidRDefault="00200A6B" w:rsidP="00200A6B">
      <w:pPr>
        <w:spacing w:before="240" w:after="240" w:line="312" w:lineRule="auto"/>
        <w:ind w:left="425" w:firstLine="425"/>
        <w:jc w:val="both"/>
        <w:textDirection w:val="btLr"/>
        <w:rPr>
          <w:lang w:val="en-US"/>
        </w:rPr>
      </w:pPr>
      <w:r w:rsidRPr="00200A6B">
        <w:rPr>
          <w:lang w:val="en-US"/>
        </w:rPr>
        <w:t>The third theme highlights differences in the principles of distribution. In zakat, fiscal justice is based on the needs of recipients (</w:t>
      </w:r>
      <w:proofErr w:type="spellStart"/>
      <w:r w:rsidRPr="00200A6B">
        <w:rPr>
          <w:lang w:val="en-US"/>
        </w:rPr>
        <w:t>mustahiq</w:t>
      </w:r>
      <w:proofErr w:type="spellEnd"/>
      <w:r w:rsidRPr="00200A6B">
        <w:rPr>
          <w:lang w:val="en-US"/>
        </w:rPr>
        <w:t>), where distribution is directed toward economically disadvantaged groups. This reflects an orientation toward fulfilling basic needs and reducing social inequality.</w:t>
      </w:r>
    </w:p>
    <w:p w14:paraId="3A98AC85" w14:textId="358B5DB6" w:rsidR="00200A6B" w:rsidRPr="00200A6B" w:rsidRDefault="00200A6B" w:rsidP="00200A6B">
      <w:pPr>
        <w:spacing w:before="240" w:after="240" w:line="312" w:lineRule="auto"/>
        <w:ind w:left="425" w:firstLine="425"/>
        <w:jc w:val="both"/>
        <w:textDirection w:val="btLr"/>
        <w:rPr>
          <w:lang w:val="en-US"/>
        </w:rPr>
      </w:pPr>
      <w:r w:rsidRPr="00200A6B">
        <w:rPr>
          <w:lang w:val="en-US"/>
        </w:rPr>
        <w:t xml:space="preserve">In contrast, taxation is largely based on the principle of ability to pay, </w:t>
      </w:r>
      <w:r w:rsidRPr="00200A6B">
        <w:rPr>
          <w:lang w:val="en-US"/>
        </w:rPr>
        <w:lastRenderedPageBreak/>
        <w:t xml:space="preserve">where individuals with higher income are subject to higher tax burdens. In taxation policy documents, this principle is used to establish a progressive and equitable tax system </w:t>
      </w:r>
      <w:sdt>
        <w:sdtPr>
          <w:rPr>
            <w:color w:val="000000"/>
            <w:lang w:val="en-US"/>
          </w:rPr>
          <w:tag w:val="MENDELEY_CITATION_v3_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"/>
          <w:id w:val="-1706170416"/>
          <w:placeholder>
            <w:docPart w:val="DefaultPlaceholder_-1854013440"/>
          </w:placeholder>
        </w:sdtPr>
        <w:sdtContent>
          <w:r w:rsidR="0086769A" w:rsidRPr="0086769A">
            <w:rPr>
              <w:color w:val="000000"/>
            </w:rPr>
            <w:t>(Indonesia, 2023)</w:t>
          </w:r>
        </w:sdtContent>
      </w:sdt>
      <w:r w:rsidRPr="00200A6B">
        <w:rPr>
          <w:lang w:val="en-US"/>
        </w:rPr>
        <w:t>.</w:t>
      </w:r>
    </w:p>
    <w:p w14:paraId="0E1F328D" w14:textId="77777777" w:rsidR="00200A6B" w:rsidRPr="00200A6B" w:rsidRDefault="00200A6B" w:rsidP="00200A6B">
      <w:pPr>
        <w:spacing w:before="240" w:after="240" w:line="312" w:lineRule="auto"/>
        <w:ind w:left="425" w:firstLine="425"/>
        <w:jc w:val="both"/>
        <w:textDirection w:val="btLr"/>
        <w:rPr>
          <w:lang w:val="en-US"/>
        </w:rPr>
      </w:pPr>
      <w:r w:rsidRPr="00200A6B">
        <w:rPr>
          <w:lang w:val="en-US"/>
        </w:rPr>
        <w:t>These findings indicate that the two systems are grounded in different bases of justice, where zakat is recipient-oriented, while taxation is contributor-oriented.</w:t>
      </w:r>
    </w:p>
    <w:p w14:paraId="5DE30298" w14:textId="77777777" w:rsidR="00200A6B" w:rsidRDefault="00200A6B" w:rsidP="00200A6B">
      <w:pPr>
        <w:pStyle w:val="Heading2"/>
        <w:numPr>
          <w:ilvl w:val="1"/>
          <w:numId w:val="1"/>
        </w:numPr>
        <w:spacing w:before="0" w:line="312" w:lineRule="auto"/>
        <w:ind w:left="426" w:hanging="426"/>
        <w:jc w:val="both"/>
        <w:textDirection w:val="btLr"/>
        <w:rPr>
          <w:lang w:val="en-US"/>
        </w:rPr>
      </w:pPr>
      <w:r w:rsidRPr="00200A6B">
        <w:rPr>
          <w:lang w:val="en-US"/>
        </w:rPr>
        <w:t>Spiritual Legitimacy versus Institutional Legitimacy</w:t>
      </w:r>
    </w:p>
    <w:p w14:paraId="68E763F9" w14:textId="77777777" w:rsidR="00200A6B" w:rsidRPr="00200A6B" w:rsidRDefault="00200A6B" w:rsidP="00200A6B">
      <w:pPr>
        <w:spacing w:before="240" w:after="240" w:line="312" w:lineRule="auto"/>
        <w:ind w:left="425" w:firstLine="425"/>
        <w:jc w:val="both"/>
        <w:textDirection w:val="btLr"/>
        <w:rPr>
          <w:lang w:val="en-US"/>
        </w:rPr>
      </w:pPr>
      <w:r w:rsidRPr="00200A6B">
        <w:rPr>
          <w:lang w:val="en-US"/>
        </w:rPr>
        <w:t>The fourth theme relates to the sources of fiscal policy legitimacy. In zakat, legitimacy is constructed through religious values and trust in religious institutions. This is evident in zakat-related narratives emphasizing the importance of trust (</w:t>
      </w:r>
      <w:proofErr w:type="spellStart"/>
      <w:r w:rsidRPr="00200A6B">
        <w:rPr>
          <w:lang w:val="en-US"/>
        </w:rPr>
        <w:t>amanah</w:t>
      </w:r>
      <w:proofErr w:type="spellEnd"/>
      <w:r w:rsidRPr="00200A6B">
        <w:rPr>
          <w:lang w:val="en-US"/>
        </w:rPr>
        <w:t>) and accountability in managing public religious funds.</w:t>
      </w:r>
    </w:p>
    <w:p w14:paraId="0FF330BC" w14:textId="0484071E" w:rsidR="00200A6B" w:rsidRPr="00200A6B" w:rsidRDefault="00200A6B" w:rsidP="00200A6B">
      <w:pPr>
        <w:spacing w:before="240" w:after="240" w:line="312" w:lineRule="auto"/>
        <w:ind w:left="425" w:firstLine="425"/>
        <w:jc w:val="both"/>
        <w:textDirection w:val="btLr"/>
        <w:rPr>
          <w:lang w:val="en-US"/>
        </w:rPr>
      </w:pPr>
      <w:r w:rsidRPr="00200A6B">
        <w:rPr>
          <w:lang w:val="en-US"/>
        </w:rPr>
        <w:t xml:space="preserve">In contrast, legitimacy in taxation depends on public trust in government and state institutions. Several policy reports indicate that tax compliance is strongly influenced by public perceptions of government transparency and accountability </w:t>
      </w:r>
      <w:sdt>
        <w:sdtPr>
          <w:rPr>
            <w:color w:val="000000"/>
            <w:lang w:val="en-US"/>
          </w:rPr>
          <w:tag w:val="MENDELEY_CITATION_v3_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"/>
          <w:id w:val="1794625804"/>
          <w:placeholder>
            <w:docPart w:val="DefaultPlaceholder_-1854013440"/>
          </w:placeholder>
        </w:sdtPr>
        <w:sdtContent>
          <w:r w:rsidR="0086769A" w:rsidRPr="0086769A">
            <w:rPr>
              <w:color w:val="000000"/>
              <w:lang w:val="en-US"/>
            </w:rPr>
            <w:t>(Indonesia, 2023)</w:t>
          </w:r>
        </w:sdtContent>
      </w:sdt>
      <w:r w:rsidRPr="00200A6B">
        <w:rPr>
          <w:lang w:val="en-US"/>
        </w:rPr>
        <w:t>.</w:t>
      </w:r>
    </w:p>
    <w:p w14:paraId="7FA157A3" w14:textId="77777777" w:rsidR="00200A6B" w:rsidRDefault="00200A6B" w:rsidP="00200A6B">
      <w:pPr>
        <w:spacing w:before="240" w:after="240" w:line="312" w:lineRule="auto"/>
        <w:ind w:left="425" w:firstLine="425"/>
        <w:jc w:val="both"/>
        <w:textDirection w:val="btLr"/>
        <w:rPr>
          <w:lang w:val="en-US"/>
        </w:rPr>
      </w:pPr>
      <w:r w:rsidRPr="00200A6B">
        <w:rPr>
          <w:lang w:val="en-US"/>
        </w:rPr>
        <w:t>This distinction shows that fiscal justice is not determined solely by distribution mechanisms but also by the level of trust in the institutions managing those resources.</w:t>
      </w:r>
    </w:p>
    <w:p w14:paraId="6BAC0305" w14:textId="77777777" w:rsidR="00BD18A6" w:rsidRPr="00200A6B" w:rsidRDefault="00BD18A6" w:rsidP="00200A6B">
      <w:pPr>
        <w:spacing w:before="240" w:after="240" w:line="312" w:lineRule="auto"/>
        <w:ind w:left="425" w:firstLine="425"/>
        <w:jc w:val="both"/>
        <w:textDirection w:val="btLr"/>
        <w:rPr>
          <w:lang w:val="en-US"/>
        </w:rPr>
      </w:pPr>
    </w:p>
    <w:p w14:paraId="40FCCBEE" w14:textId="77777777" w:rsidR="00200A6B" w:rsidRDefault="00200A6B" w:rsidP="00200A6B">
      <w:pPr>
        <w:pStyle w:val="Heading2"/>
        <w:numPr>
          <w:ilvl w:val="1"/>
          <w:numId w:val="1"/>
        </w:numPr>
        <w:spacing w:before="0" w:line="312" w:lineRule="auto"/>
        <w:ind w:left="426" w:hanging="426"/>
        <w:jc w:val="both"/>
        <w:textDirection w:val="btLr"/>
        <w:rPr>
          <w:lang w:val="en-US"/>
        </w:rPr>
      </w:pPr>
      <w:r w:rsidRPr="00200A6B">
        <w:rPr>
          <w:lang w:val="en-US"/>
        </w:rPr>
        <w:t>Integration of Zakat and Taxation as a Space for Negotiating Fiscal Justice</w:t>
      </w:r>
    </w:p>
    <w:p w14:paraId="3D283FB4" w14:textId="77777777" w:rsidR="00200A6B" w:rsidRPr="00200A6B" w:rsidRDefault="00200A6B" w:rsidP="00200A6B">
      <w:pPr>
        <w:spacing w:before="240" w:after="240" w:line="312" w:lineRule="auto"/>
        <w:ind w:left="425" w:firstLine="425"/>
        <w:jc w:val="both"/>
        <w:textDirection w:val="btLr"/>
        <w:rPr>
          <w:lang w:val="en-US"/>
        </w:rPr>
      </w:pPr>
      <w:r w:rsidRPr="00200A6B">
        <w:rPr>
          <w:lang w:val="en-US"/>
        </w:rPr>
        <w:t xml:space="preserve">The final theme reveals efforts to integrate zakat and taxation within the national fiscal system, creating a new space for negotiating the meaning of fiscal justice. Policies that allow zakat to be treated as a tax deduction indicate that the two systems are not entirely separate but can interact with each other. </w:t>
      </w:r>
      <w:r w:rsidRPr="00200A6B">
        <w:rPr>
          <w:lang w:val="en-US"/>
        </w:rPr>
        <w:lastRenderedPageBreak/>
        <w:t>Overall, the findings demonstrate that fiscal justice in Islamic and conventional fiscal policies differs not only at the level of instruments but also at the levels of meaning, processes, and underlying legitimacy. The identified themes reflect the complexity of fiscal justice construction, which cannot be reduced to a simple comparison between zakat and taxation, but must be understood as a phenomenon shaped by the interaction between values, policies, and social contexts.</w:t>
      </w:r>
    </w:p>
    <w:p w14:paraId="4C20B8DA" w14:textId="77777777" w:rsidR="00200A6B" w:rsidRPr="00200A6B" w:rsidRDefault="00200A6B" w:rsidP="00200A6B">
      <w:pPr>
        <w:spacing w:before="240" w:after="240" w:line="312" w:lineRule="auto"/>
        <w:ind w:left="425" w:firstLine="425"/>
        <w:jc w:val="both"/>
        <w:textDirection w:val="btLr"/>
        <w:rPr>
          <w:lang w:val="en-US"/>
        </w:rPr>
      </w:pPr>
      <w:r w:rsidRPr="00200A6B">
        <w:rPr>
          <w:lang w:val="en-US"/>
        </w:rPr>
        <w:t>However, policy documents suggest that this integration is still positioned primarily as a technical matter rather than a conceptual effort to reconcile two distinct paradigms of justice. This indicates that the construction of fiscal justice within the context of integration remains dynamic and not yet fully defined.</w:t>
      </w:r>
    </w:p>
    <w:p w14:paraId="72B2AA5E" w14:textId="77777777" w:rsidR="00200A6B" w:rsidRPr="00200A6B" w:rsidRDefault="00200A6B" w:rsidP="00200A6B">
      <w:pPr>
        <w:spacing w:before="240" w:after="240" w:line="312" w:lineRule="auto"/>
        <w:ind w:left="425" w:firstLine="425"/>
        <w:jc w:val="both"/>
        <w:rPr>
          <w:lang w:val="en-US"/>
        </w:rPr>
      </w:pPr>
      <w:r w:rsidRPr="00200A6B">
        <w:rPr>
          <w:lang w:val="en-US"/>
        </w:rPr>
        <w:t>This study concludes that fiscal justice in Islamic and conventional fiscal policies is constructed through different meanings, as reflected in the characteristics of zakat and taxation as fiscal instruments. Zakat represents justice grounded in moral obligation, need-based distribution, and spiritual legitimacy, whereas taxation represents justice based on capacity, administrative procedures, and institutional legitimacy. This difference indicates that fiscal justice is not a singular concept but rather the result of interaction among various normative and social dimensions.</w:t>
      </w:r>
    </w:p>
    <w:p w14:paraId="4B3ED9D9" w14:textId="77777777" w:rsidR="00200A6B" w:rsidRPr="00200A6B" w:rsidRDefault="00200A6B" w:rsidP="00200A6B">
      <w:pPr>
        <w:spacing w:before="240" w:after="240" w:line="312" w:lineRule="auto"/>
        <w:ind w:left="425" w:firstLine="425"/>
        <w:jc w:val="both"/>
        <w:rPr>
          <w:lang w:val="en-US"/>
        </w:rPr>
      </w:pPr>
      <w:r w:rsidRPr="00200A6B">
        <w:rPr>
          <w:lang w:val="en-US"/>
        </w:rPr>
        <w:t>The findings demonstrate that fiscal justice in Islamic and conventional fiscal policies differs not only at the level of instruments but also at the level of meaning construction underlying policy practices. The distinction between zakat and taxation reflects epistemological differences in understanding justice, which in turn influence how policies are designed, implemented, and socially received.</w:t>
      </w:r>
    </w:p>
    <w:p w14:paraId="453843DB" w14:textId="04678480" w:rsidR="00200A6B" w:rsidRPr="00200A6B" w:rsidRDefault="00200A6B" w:rsidP="00200A6B">
      <w:pPr>
        <w:spacing w:before="240" w:after="240" w:line="312" w:lineRule="auto"/>
        <w:ind w:left="425" w:firstLine="425"/>
        <w:jc w:val="both"/>
        <w:rPr>
          <w:lang w:val="en-US"/>
        </w:rPr>
      </w:pPr>
      <w:r w:rsidRPr="00200A6B">
        <w:rPr>
          <w:lang w:val="en-US"/>
        </w:rPr>
        <w:t xml:space="preserve">The first theme, which frames justice as a moral obligation in zakat and an administrative obligation in taxation, supports the argument that the Islamic </w:t>
      </w:r>
      <w:r w:rsidRPr="00200A6B">
        <w:rPr>
          <w:lang w:val="en-US"/>
        </w:rPr>
        <w:lastRenderedPageBreak/>
        <w:t xml:space="preserve">fiscal system possesses a stronger normative foundation than the conventional system. This aligns with </w:t>
      </w:r>
      <w:proofErr w:type="spellStart"/>
      <w:r w:rsidRPr="00200A6B">
        <w:rPr>
          <w:lang w:val="en-US"/>
        </w:rPr>
        <w:t>Chapra</w:t>
      </w:r>
      <w:proofErr w:type="spellEnd"/>
      <w:r w:rsidRPr="00200A6B">
        <w:rPr>
          <w:lang w:val="en-US"/>
        </w:rPr>
        <w:t xml:space="preserve"> </w:t>
      </w:r>
      <w:sdt>
        <w:sdtPr>
          <w:rPr>
            <w:color w:val="000000"/>
            <w:lang w:val="en-US"/>
          </w:rPr>
          <w:tag w:val="MENDELEY_CITATION_v3_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"/>
          <w:id w:val="50506707"/>
          <w:placeholder>
            <w:docPart w:val="DefaultPlaceholder_-1854013440"/>
          </w:placeholder>
        </w:sdtPr>
        <w:sdtContent>
          <w:r w:rsidR="0086769A" w:rsidRPr="0086769A">
            <w:rPr>
              <w:color w:val="000000"/>
              <w:lang w:val="en-US"/>
            </w:rPr>
            <w:t>(2021)</w:t>
          </w:r>
        </w:sdtContent>
      </w:sdt>
      <w:r w:rsidRPr="00200A6B">
        <w:rPr>
          <w:lang w:val="en-US"/>
        </w:rPr>
        <w:t xml:space="preserve">, who argues that justice in Islamic economics is not merely institutional but also involves the internalization of values within individuals. This finding also extends the study by Yusuf and Derus </w:t>
      </w:r>
      <w:sdt>
        <w:sdtPr>
          <w:rPr>
            <w:color w:val="000000"/>
            <w:lang w:val="en-US"/>
          </w:rPr>
          <w:tag w:val="MENDELEY_CITATION_v3_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"/>
          <w:id w:val="630900587"/>
          <w:placeholder>
            <w:docPart w:val="DefaultPlaceholder_-1854013440"/>
          </w:placeholder>
        </w:sdtPr>
        <w:sdtContent>
          <w:r w:rsidR="0086769A" w:rsidRPr="0086769A">
            <w:rPr>
              <w:color w:val="000000"/>
              <w:lang w:val="en-US"/>
            </w:rPr>
            <w:t>(2022)</w:t>
          </w:r>
        </w:sdtContent>
      </w:sdt>
      <w:r w:rsidRPr="00200A6B">
        <w:rPr>
          <w:lang w:val="en-US"/>
        </w:rPr>
        <w:t>, which highlights that public perceptions of zakat are driven by religious awareness, whereas taxation is often perceived as a state-imposed obligation. Thus, fiscal justice in the Islamic system is constructed not only through distribution mechanisms but also through the formation of moral consciousness.</w:t>
      </w:r>
    </w:p>
    <w:p w14:paraId="1A900339" w14:textId="77777777" w:rsidR="00200A6B" w:rsidRPr="00200A6B" w:rsidRDefault="00200A6B" w:rsidP="00200A6B">
      <w:pPr>
        <w:spacing w:before="240" w:after="240" w:line="312" w:lineRule="auto"/>
        <w:ind w:left="425" w:firstLine="425"/>
        <w:jc w:val="both"/>
        <w:rPr>
          <w:lang w:val="en-US"/>
        </w:rPr>
      </w:pPr>
      <w:r w:rsidRPr="00200A6B">
        <w:rPr>
          <w:lang w:val="en-US"/>
        </w:rPr>
        <w:t>However, this finding also challenges the assumption that moral legitimacy necessarily leads to higher effectiveness. In practice, the relatively low realization of zakat collection compared to its potential indicates that moral awareness does not always translate into actual compliance. This reveals a gap between normative values and social practices that has received limited attention in previous studies.</w:t>
      </w:r>
    </w:p>
    <w:p w14:paraId="21D8734E" w14:textId="19A68095" w:rsidR="00200A6B" w:rsidRPr="00200A6B" w:rsidRDefault="00200A6B" w:rsidP="00200A6B">
      <w:pPr>
        <w:spacing w:before="240" w:after="240" w:line="312" w:lineRule="auto"/>
        <w:ind w:left="425" w:firstLine="425"/>
        <w:jc w:val="both"/>
        <w:rPr>
          <w:lang w:val="en-US"/>
        </w:rPr>
      </w:pPr>
      <w:r w:rsidRPr="00200A6B">
        <w:rPr>
          <w:lang w:val="en-US"/>
        </w:rPr>
        <w:t xml:space="preserve">The second theme, concerning direct distribution in zakat and indirect distribution in taxation, reinforces the findings of </w:t>
      </w:r>
      <w:proofErr w:type="spellStart"/>
      <w:r w:rsidRPr="00200A6B">
        <w:rPr>
          <w:lang w:val="en-US"/>
        </w:rPr>
        <w:t>Kasri</w:t>
      </w:r>
      <w:proofErr w:type="spellEnd"/>
      <w:r w:rsidRPr="00200A6B">
        <w:rPr>
          <w:lang w:val="en-US"/>
        </w:rPr>
        <w:t xml:space="preserve"> and Putri </w:t>
      </w:r>
      <w:sdt>
        <w:sdtPr>
          <w:rPr>
            <w:color w:val="000000"/>
            <w:lang w:val="en-US"/>
          </w:rPr>
          <w:tag w:val="MENDELEY_CITATION_v3_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"/>
          <w:id w:val="-961806736"/>
          <w:placeholder>
            <w:docPart w:val="DefaultPlaceholder_-1854013440"/>
          </w:placeholder>
        </w:sdtPr>
        <w:sdtContent>
          <w:r w:rsidR="0086769A" w:rsidRPr="0086769A">
            <w:rPr>
              <w:color w:val="000000"/>
              <w:lang w:val="en-US"/>
            </w:rPr>
            <w:t>(2020)</w:t>
          </w:r>
        </w:sdtContent>
      </w:sdt>
      <w:r w:rsidRPr="00200A6B">
        <w:rPr>
          <w:lang w:val="en-US"/>
        </w:rPr>
        <w:t xml:space="preserve"> that zakat is more effective in directly reaching vulnerable groups. However, this study extends that understanding by showing that direct distribution also shapes a more tangible perception of justice among the public. In contrast, indirect distribution in taxation, although broader in scope, tends to create distance between taxpayers and the benefits received, thereby influencing perceptions of fiscal justice </w:t>
      </w:r>
      <w:sdt>
        <w:sdtPr>
          <w:rPr>
            <w:color w:val="000000"/>
            <w:lang w:val="en-US"/>
          </w:rPr>
          <w:tag w:val="MENDELEY_CITATION_v3_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"/>
          <w:id w:val="-2116750392"/>
          <w:placeholder>
            <w:docPart w:val="DefaultPlaceholder_-1854013440"/>
          </w:placeholder>
        </w:sdtPr>
        <w:sdtContent>
          <w:r w:rsidR="0086769A" w:rsidRPr="0086769A">
            <w:rPr>
              <w:color w:val="000000"/>
              <w:lang w:val="en-US"/>
            </w:rPr>
            <w:t>(2021)</w:t>
          </w:r>
        </w:sdtContent>
      </w:sdt>
      <w:r w:rsidRPr="00200A6B">
        <w:rPr>
          <w:lang w:val="en-US"/>
        </w:rPr>
        <w:t>.</w:t>
      </w:r>
    </w:p>
    <w:p w14:paraId="07CC49C3" w14:textId="77777777" w:rsidR="00200A6B" w:rsidRPr="00200A6B" w:rsidRDefault="00200A6B" w:rsidP="00200A6B">
      <w:pPr>
        <w:spacing w:before="240" w:after="240" w:line="312" w:lineRule="auto"/>
        <w:ind w:left="425" w:firstLine="425"/>
        <w:jc w:val="both"/>
        <w:rPr>
          <w:lang w:val="en-US"/>
        </w:rPr>
      </w:pPr>
      <w:r w:rsidRPr="00200A6B">
        <w:rPr>
          <w:lang w:val="en-US"/>
        </w:rPr>
        <w:t xml:space="preserve">On the other hand, the findings also indicate that the advantage of direct distribution in zakat cannot fully substitute the role of taxation in modern economic systems. Taxation remains essential for financing large-scale development that cannot be sustained by zakat alone. Therefore, this study critiques the dichotomous approach in previous research that tends to position </w:t>
      </w:r>
      <w:r w:rsidRPr="00200A6B">
        <w:rPr>
          <w:lang w:val="en-US"/>
        </w:rPr>
        <w:lastRenderedPageBreak/>
        <w:t>zakat and taxation as substitutive systems.</w:t>
      </w:r>
    </w:p>
    <w:p w14:paraId="433669D3" w14:textId="2A4D79E6" w:rsidR="00200A6B" w:rsidRPr="00200A6B" w:rsidRDefault="00200A6B" w:rsidP="00200A6B">
      <w:pPr>
        <w:spacing w:before="240" w:after="240" w:line="312" w:lineRule="auto"/>
        <w:ind w:left="425" w:firstLine="425"/>
        <w:jc w:val="both"/>
        <w:rPr>
          <w:lang w:val="en-US"/>
        </w:rPr>
      </w:pPr>
      <w:r w:rsidRPr="00200A6B">
        <w:rPr>
          <w:lang w:val="en-US"/>
        </w:rPr>
        <w:t xml:space="preserve">The third theme, related to need-based justice in zakat and ability-based justice in taxation, highlights differences in the orientation of resource distribution. This finding is consistent with distributive justice theory in conventional economics, which emphasizes the ability-to-pay principle </w:t>
      </w:r>
      <w:sdt>
        <w:sdtPr>
          <w:rPr>
            <w:color w:val="000000"/>
            <w:lang w:val="en-US"/>
          </w:rPr>
          <w:tag w:val="MENDELEY_CITATION_v3_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"/>
          <w:id w:val="-1303303687"/>
          <w:placeholder>
            <w:docPart w:val="DefaultPlaceholder_-1854013440"/>
          </w:placeholder>
        </w:sdtPr>
        <w:sdtContent>
          <w:r w:rsidR="0086769A" w:rsidRPr="0086769A">
            <w:rPr>
              <w:color w:val="000000"/>
            </w:rPr>
            <w:t>(Bird &amp; Zolt, 2021)</w:t>
          </w:r>
        </w:sdtContent>
      </w:sdt>
      <w:r w:rsidRPr="00200A6B">
        <w:rPr>
          <w:lang w:val="en-US"/>
        </w:rPr>
        <w:t xml:space="preserve">, as well as the concept of </w:t>
      </w:r>
      <w:proofErr w:type="spellStart"/>
      <w:r w:rsidRPr="00200A6B">
        <w:rPr>
          <w:lang w:val="en-US"/>
        </w:rPr>
        <w:t>maqāṣid</w:t>
      </w:r>
      <w:proofErr w:type="spellEnd"/>
      <w:r w:rsidRPr="00200A6B">
        <w:rPr>
          <w:lang w:val="en-US"/>
        </w:rPr>
        <w:t xml:space="preserve"> al-</w:t>
      </w:r>
      <w:proofErr w:type="spellStart"/>
      <w:proofErr w:type="gramStart"/>
      <w:r w:rsidRPr="00200A6B">
        <w:rPr>
          <w:lang w:val="en-US"/>
        </w:rPr>
        <w:t>sharī‘</w:t>
      </w:r>
      <w:proofErr w:type="gramEnd"/>
      <w:r w:rsidRPr="00200A6B">
        <w:rPr>
          <w:lang w:val="en-US"/>
        </w:rPr>
        <w:t>ah</w:t>
      </w:r>
      <w:proofErr w:type="spellEnd"/>
      <w:r w:rsidRPr="00200A6B">
        <w:rPr>
          <w:lang w:val="en-US"/>
        </w:rPr>
        <w:t xml:space="preserve"> in Islamic economics, which prioritizes the fulfillment of basic needs </w:t>
      </w:r>
      <w:sdt>
        <w:sdtPr>
          <w:rPr>
            <w:color w:val="000000"/>
            <w:lang w:val="en-US"/>
          </w:rPr>
          <w:tag w:val="MENDELEY_CITATION_v3_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"/>
          <w:id w:val="333809612"/>
          <w:placeholder>
            <w:docPart w:val="DefaultPlaceholder_-1854013440"/>
          </w:placeholder>
        </w:sdtPr>
        <w:sdtContent>
          <w:r w:rsidR="0086769A" w:rsidRPr="0086769A">
            <w:rPr>
              <w:color w:val="000000"/>
              <w:lang w:val="en-US"/>
            </w:rPr>
            <w:t>(</w:t>
          </w:r>
          <w:proofErr w:type="spellStart"/>
          <w:r w:rsidR="0086769A" w:rsidRPr="0086769A">
            <w:rPr>
              <w:color w:val="000000"/>
              <w:lang w:val="en-US"/>
            </w:rPr>
            <w:t>Ascarya</w:t>
          </w:r>
          <w:proofErr w:type="spellEnd"/>
          <w:r w:rsidR="0086769A" w:rsidRPr="0086769A">
            <w:rPr>
              <w:color w:val="000000"/>
              <w:lang w:val="en-US"/>
            </w:rPr>
            <w:t>, 2022)</w:t>
          </w:r>
        </w:sdtContent>
      </w:sdt>
      <w:r w:rsidRPr="00200A6B">
        <w:rPr>
          <w:lang w:val="en-US"/>
        </w:rPr>
        <w:t>. However, this study expands the discourse by demonstrating that these approaches are not mutually exclusive but can be understood as complementary dimensions of justice.</w:t>
      </w:r>
    </w:p>
    <w:p w14:paraId="19868F08" w14:textId="77777777" w:rsidR="00200A6B" w:rsidRPr="00200A6B" w:rsidRDefault="00200A6B" w:rsidP="00200A6B">
      <w:pPr>
        <w:spacing w:before="240" w:after="240" w:line="312" w:lineRule="auto"/>
        <w:ind w:left="425" w:firstLine="425"/>
        <w:jc w:val="both"/>
        <w:rPr>
          <w:lang w:val="en-US"/>
        </w:rPr>
      </w:pPr>
      <w:r w:rsidRPr="00200A6B">
        <w:rPr>
          <w:lang w:val="en-US"/>
        </w:rPr>
        <w:t>In this context, fiscal justice cannot be reduced to a single principle but should be understood as the result of interaction among multiple distributive principles. This provides a theoretical contribution by shifting the understanding of fiscal justice from a single-dimensional to a multidimensional perspective.</w:t>
      </w:r>
    </w:p>
    <w:p w14:paraId="5A29F567" w14:textId="514D0216" w:rsidR="00200A6B" w:rsidRPr="00200A6B" w:rsidRDefault="00200A6B" w:rsidP="00200A6B">
      <w:pPr>
        <w:spacing w:before="240" w:after="240" w:line="312" w:lineRule="auto"/>
        <w:ind w:left="425" w:firstLine="425"/>
        <w:jc w:val="both"/>
        <w:rPr>
          <w:lang w:val="en-US"/>
        </w:rPr>
      </w:pPr>
      <w:r w:rsidRPr="00200A6B">
        <w:rPr>
          <w:lang w:val="en-US"/>
        </w:rPr>
        <w:t xml:space="preserve">The fourth theme, concerning spiritual legitimacy in zakat and institutional legitimacy in taxation, reinforces the findings of Hassan et al. </w:t>
      </w:r>
      <w:sdt>
        <w:sdtPr>
          <w:rPr>
            <w:color w:val="000000"/>
            <w:lang w:val="en-US"/>
          </w:rPr>
          <w:tag w:val="MENDELEY_CITATION_v3_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"/>
          <w:id w:val="88735556"/>
          <w:placeholder>
            <w:docPart w:val="DefaultPlaceholder_-1854013440"/>
          </w:placeholder>
        </w:sdtPr>
        <w:sdtContent>
          <w:r w:rsidR="0086769A" w:rsidRPr="0086769A">
            <w:rPr>
              <w:color w:val="000000"/>
              <w:lang w:val="en-US"/>
            </w:rPr>
            <w:t>(2022)</w:t>
          </w:r>
        </w:sdtContent>
      </w:sdt>
      <w:r w:rsidRPr="00200A6B">
        <w:rPr>
          <w:lang w:val="en-US"/>
        </w:rPr>
        <w:t>, which emphasize the importance of trust in institutional effectiveness. This study adds that legitimacy is not only derived from formal institutions but also from socially embedded values. In this regard, zakat derives its legitimacy from religious beliefs, whereas taxation depends on the credibility of government institutions.</w:t>
      </w:r>
    </w:p>
    <w:p w14:paraId="16B865E9" w14:textId="77777777" w:rsidR="00200A6B" w:rsidRPr="00200A6B" w:rsidRDefault="00200A6B" w:rsidP="00200A6B">
      <w:pPr>
        <w:spacing w:before="240" w:after="240" w:line="312" w:lineRule="auto"/>
        <w:ind w:left="425" w:firstLine="425"/>
        <w:jc w:val="both"/>
        <w:rPr>
          <w:lang w:val="en-US"/>
        </w:rPr>
      </w:pPr>
      <w:r w:rsidRPr="00200A6B">
        <w:rPr>
          <w:lang w:val="en-US"/>
        </w:rPr>
        <w:t>This finding has important implications, suggesting that improving fiscal justice is not solely dependent on policy reform but also on strengthening public trust. It also critiques technocratic approaches to fiscal policy that tend to overlook social and cultural dimensions.</w:t>
      </w:r>
    </w:p>
    <w:p w14:paraId="3B2A47EE" w14:textId="729E2057" w:rsidR="00200A6B" w:rsidRPr="00200A6B" w:rsidRDefault="00200A6B" w:rsidP="00200A6B">
      <w:pPr>
        <w:spacing w:before="240" w:after="240" w:line="312" w:lineRule="auto"/>
        <w:ind w:left="425" w:firstLine="425"/>
        <w:jc w:val="both"/>
        <w:rPr>
          <w:lang w:val="en-US"/>
        </w:rPr>
      </w:pPr>
      <w:r w:rsidRPr="00200A6B">
        <w:rPr>
          <w:lang w:val="en-US"/>
        </w:rPr>
        <w:t xml:space="preserve">The final theme, concerning the integration of zakat and taxation, indicates </w:t>
      </w:r>
      <w:r w:rsidRPr="00200A6B">
        <w:rPr>
          <w:lang w:val="en-US"/>
        </w:rPr>
        <w:lastRenderedPageBreak/>
        <w:t xml:space="preserve">that fiscal justice is a dynamic concept open to negotiation. This finding extends the study by Firdaus et al. </w:t>
      </w:r>
      <w:sdt>
        <w:sdtPr>
          <w:rPr>
            <w:color w:val="000000"/>
            <w:lang w:val="en-US"/>
          </w:rPr>
          <w:tag w:val="MENDELEY_CITATION_v3_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"/>
          <w:id w:val="1353613366"/>
          <w:placeholder>
            <w:docPart w:val="DefaultPlaceholder_-1854013440"/>
          </w:placeholder>
        </w:sdtPr>
        <w:sdtContent>
          <w:r w:rsidR="0086769A" w:rsidRPr="0086769A">
            <w:rPr>
              <w:color w:val="000000"/>
              <w:lang w:val="en-US"/>
            </w:rPr>
            <w:t>(2021)</w:t>
          </w:r>
        </w:sdtContent>
      </w:sdt>
      <w:r w:rsidRPr="00200A6B">
        <w:rPr>
          <w:lang w:val="en-US"/>
        </w:rPr>
        <w:t xml:space="preserve"> by demonstrating that integration is not merely technical but also involves redefining the meaning of fiscal justice. In this context, policies that allow zakat to be deducted from taxable income can be interpreted as attempts to bridge two distinct paradigms of justice.</w:t>
      </w:r>
    </w:p>
    <w:p w14:paraId="60163659" w14:textId="77777777" w:rsidR="00200A6B" w:rsidRPr="00200A6B" w:rsidRDefault="00200A6B" w:rsidP="00200A6B">
      <w:pPr>
        <w:spacing w:before="240" w:after="240" w:line="312" w:lineRule="auto"/>
        <w:ind w:left="425" w:firstLine="425"/>
        <w:jc w:val="both"/>
        <w:rPr>
          <w:lang w:val="en-US"/>
        </w:rPr>
      </w:pPr>
      <w:r w:rsidRPr="00200A6B">
        <w:rPr>
          <w:lang w:val="en-US"/>
        </w:rPr>
        <w:t>However, the study finds that such integration remains partial and lacks a comprehensive conceptual framework. This highlights the need for developing fiscal policy models that systematically integrate moral and administrative dimensions.</w:t>
      </w:r>
    </w:p>
    <w:p w14:paraId="4F2FD9B6" w14:textId="77777777" w:rsidR="00200A6B" w:rsidRPr="00200A6B" w:rsidRDefault="00200A6B" w:rsidP="00200A6B">
      <w:pPr>
        <w:spacing w:before="240" w:after="240" w:line="312" w:lineRule="auto"/>
        <w:ind w:left="425" w:firstLine="425"/>
        <w:jc w:val="both"/>
        <w:rPr>
          <w:lang w:val="en-US"/>
        </w:rPr>
      </w:pPr>
      <w:r w:rsidRPr="00200A6B">
        <w:rPr>
          <w:lang w:val="en-US"/>
        </w:rPr>
        <w:t>Overall, this study contributes theoretically by demonstrating that fiscal justice is an interpretative construct shaped not only by policy instruments but also by values, perceptions, and social context. The use of thematic analysis enables the identification of meaning dimensions that have often been overlooked in fiscal policy studies.</w:t>
      </w:r>
    </w:p>
    <w:p w14:paraId="79BFEBBD" w14:textId="77777777" w:rsidR="00200A6B" w:rsidRPr="00200A6B" w:rsidRDefault="00200A6B" w:rsidP="00200A6B">
      <w:pPr>
        <w:spacing w:before="240" w:after="240" w:line="312" w:lineRule="auto"/>
        <w:ind w:left="425" w:firstLine="425"/>
        <w:jc w:val="both"/>
        <w:rPr>
          <w:lang w:val="en-US"/>
        </w:rPr>
      </w:pPr>
      <w:r w:rsidRPr="00200A6B">
        <w:rPr>
          <w:lang w:val="en-US"/>
        </w:rPr>
        <w:t>From a practical perspective, the findings imply that fiscal policy formulation should consider not only technical and economic aspects but also social perceptions and legitimacy. The integration of zakat and taxation should be developed not merely as an administrative policy but as an effort to build a more just and inclusive fiscal system.</w:t>
      </w:r>
    </w:p>
    <w:p w14:paraId="52C39C95" w14:textId="77777777" w:rsidR="00200A6B" w:rsidRPr="00200A6B" w:rsidRDefault="00200A6B" w:rsidP="00200A6B">
      <w:pPr>
        <w:spacing w:before="240" w:after="240" w:line="312" w:lineRule="auto"/>
        <w:ind w:left="425" w:firstLine="425"/>
        <w:jc w:val="both"/>
        <w:rPr>
          <w:lang w:val="en-US"/>
        </w:rPr>
      </w:pPr>
      <w:r w:rsidRPr="00200A6B">
        <w:rPr>
          <w:lang w:val="en-US"/>
        </w:rPr>
        <w:t>This study concludes that fiscal justice in Islamic and conventional fiscal policies is constructed through different meanings, as reflected in the characteristics of zakat and taxation as fiscal instruments. Zakat represents justice based on moral obligation, need, and spiritual legitimacy, whereas taxation reflects justice based on capacity, administrative procedures, and institutional legitimacy. This difference confirms that fiscal justice is not a singular concept but a product of interaction among various normative and social dimensions.</w:t>
      </w:r>
    </w:p>
    <w:p w14:paraId="355AE1C3" w14:textId="77777777" w:rsidR="00200A6B" w:rsidRPr="00200A6B" w:rsidRDefault="00200A6B" w:rsidP="00200A6B">
      <w:pPr>
        <w:spacing w:before="240" w:after="240" w:line="312" w:lineRule="auto"/>
        <w:ind w:left="425" w:firstLine="425"/>
        <w:jc w:val="both"/>
        <w:rPr>
          <w:lang w:val="en-US"/>
        </w:rPr>
      </w:pPr>
      <w:r w:rsidRPr="00200A6B">
        <w:rPr>
          <w:lang w:val="en-US"/>
        </w:rPr>
        <w:lastRenderedPageBreak/>
        <w:t>The findings also indicate that zakat and taxation should not be understood dichotomously but as instruments with the potential to complement each other within a modern fiscal system. However, their integration still faces conceptual and implementation challenges that require further investigation.</w:t>
      </w:r>
    </w:p>
    <w:p w14:paraId="7A93C350" w14:textId="77777777" w:rsidR="00200A6B" w:rsidRPr="00200A6B" w:rsidRDefault="00200A6B" w:rsidP="00200A6B">
      <w:pPr>
        <w:spacing w:before="240" w:after="240" w:line="312" w:lineRule="auto"/>
        <w:ind w:left="425" w:firstLine="425"/>
        <w:jc w:val="both"/>
        <w:rPr>
          <w:lang w:val="en-US"/>
        </w:rPr>
      </w:pPr>
      <w:r w:rsidRPr="00200A6B">
        <w:rPr>
          <w:lang w:val="en-US"/>
        </w:rPr>
        <w:t>Based on these findings, it is recommended that future fiscal policy development should not only focus on technical aspects but also consider social and cultural dimensions influencing perceptions of justice. Furthermore, efforts are needed to develop a more comprehensive conceptual framework for integrating zakat and taxation as fiscal instruments.</w:t>
      </w:r>
    </w:p>
    <w:p w14:paraId="11B8CD3A" w14:textId="77777777" w:rsidR="00200A6B" w:rsidRPr="00200A6B" w:rsidRDefault="00200A6B" w:rsidP="00200A6B">
      <w:pPr>
        <w:spacing w:before="240" w:after="240" w:line="312" w:lineRule="auto"/>
        <w:ind w:left="425" w:firstLine="425"/>
        <w:jc w:val="both"/>
        <w:rPr>
          <w:lang w:val="en-US"/>
        </w:rPr>
      </w:pPr>
      <w:r w:rsidRPr="00200A6B">
        <w:rPr>
          <w:lang w:val="en-US"/>
        </w:rPr>
        <w:t>For future research, it is suggested to empirically examine how communities experience and interpret fiscal justice, as well as to explore more contextual models of zakat and taxation integration. Qualitative approaches involving direct engagement with informants may provide deeper insights into the social dynamics underlying fiscal policy.</w:t>
      </w:r>
    </w:p>
    <w:p w14:paraId="79A5D29A" w14:textId="4B2EFBDB" w:rsidR="00B71137" w:rsidRPr="00BD5C66" w:rsidRDefault="003B1197">
      <w:pPr>
        <w:pStyle w:val="Heading2"/>
        <w:numPr>
          <w:ilvl w:val="0"/>
          <w:numId w:val="1"/>
        </w:numPr>
        <w:spacing w:before="0" w:line="360" w:lineRule="auto"/>
        <w:ind w:left="426" w:hanging="426"/>
        <w:jc w:val="both"/>
        <w:rPr>
          <w:lang w:val="en-US"/>
        </w:rPr>
      </w:pPr>
      <w:r>
        <w:rPr>
          <w:lang w:val="en-US"/>
        </w:rPr>
        <w:t>PENUTUP</w:t>
      </w:r>
    </w:p>
    <w:p w14:paraId="698D6869" w14:textId="77777777" w:rsidR="007D1621" w:rsidRPr="007D1621" w:rsidRDefault="007D1621" w:rsidP="007D1621">
      <w:pPr>
        <w:pBdr>
          <w:top w:val="nil"/>
          <w:left w:val="nil"/>
          <w:bottom w:val="nil"/>
          <w:right w:val="nil"/>
          <w:between w:val="nil"/>
        </w:pBdr>
        <w:spacing w:line="360" w:lineRule="auto"/>
        <w:ind w:firstLine="426"/>
        <w:jc w:val="both"/>
        <w:textDirection w:val="btLr"/>
        <w:rPr>
          <w:lang w:val="en-US"/>
        </w:rPr>
      </w:pPr>
      <w:r w:rsidRPr="007D1621">
        <w:rPr>
          <w:lang w:val="en-US"/>
        </w:rPr>
        <w:t>This study affirms that fiscal justice in Islamic and conventional fiscal policies is not merely a difference in instruments between zakat and taxation, but rather reflects two epistemologically distinct paradigms of justice that cannot be fully reduced to one another. The main finding of this study indicates that zakat constructs fiscal justice through a moral-spiritual logic oriented toward recipients’ needs (need-based justice) and internal legitimacy, whereas taxation constructs justice through an administrative-institutional logic oriented toward contribution capacity (ability-based justice) and external legitimacy. Therefore, fiscal justice is neither universal nor singular, but rather a multidimensional construct shaped by value systems and institutional contexts.</w:t>
      </w:r>
    </w:p>
    <w:p w14:paraId="70EB77C2" w14:textId="77777777" w:rsidR="007D1621" w:rsidRPr="007D1621" w:rsidRDefault="007D1621" w:rsidP="007D1621">
      <w:pPr>
        <w:pBdr>
          <w:top w:val="nil"/>
          <w:left w:val="nil"/>
          <w:bottom w:val="nil"/>
          <w:right w:val="nil"/>
          <w:between w:val="nil"/>
        </w:pBdr>
        <w:spacing w:line="360" w:lineRule="auto"/>
        <w:ind w:firstLine="426"/>
        <w:jc w:val="both"/>
        <w:textDirection w:val="btLr"/>
        <w:rPr>
          <w:lang w:val="en-US"/>
        </w:rPr>
      </w:pPr>
      <w:r w:rsidRPr="007D1621">
        <w:rPr>
          <w:lang w:val="en-US"/>
        </w:rPr>
        <w:t xml:space="preserve">Unlike most previous studies that position zakat and taxation within a </w:t>
      </w:r>
      <w:r w:rsidRPr="007D1621">
        <w:rPr>
          <w:lang w:val="en-US"/>
        </w:rPr>
        <w:lastRenderedPageBreak/>
        <w:t>normative comparative framework or economic effectiveness analysis, this study demonstrates that the fundamental difference lies in the construction of the meaning of justice itself, rather than merely in distribution performance or policy design. In this regard, the study offers a conceptual contribution by introducing the perspective that fiscal justice should be understood as an interpretative construct formed through the interaction of moral values, policy structures, and social perceptions. This perspective opens new analytical space beyond the dominant quantitative and normative approaches in the literature.</w:t>
      </w:r>
    </w:p>
    <w:p w14:paraId="145E31BC" w14:textId="77777777" w:rsidR="007D1621" w:rsidRPr="007D1621" w:rsidRDefault="007D1621" w:rsidP="007D1621">
      <w:pPr>
        <w:pBdr>
          <w:top w:val="nil"/>
          <w:left w:val="nil"/>
          <w:bottom w:val="nil"/>
          <w:right w:val="nil"/>
          <w:between w:val="nil"/>
        </w:pBdr>
        <w:spacing w:line="360" w:lineRule="auto"/>
        <w:ind w:firstLine="426"/>
        <w:jc w:val="both"/>
        <w:textDirection w:val="btLr"/>
        <w:rPr>
          <w:lang w:val="en-US"/>
        </w:rPr>
      </w:pPr>
      <w:r w:rsidRPr="007D1621">
        <w:rPr>
          <w:lang w:val="en-US"/>
        </w:rPr>
        <w:t>Furthermore, this study reveals that the relationship between zakat and taxation is neither dichotomous nor substitutive, but potentially complementary within the framework of a modern fiscal system. However, the findings indicate that current integration efforts remain at an administrative level and have not yet addressed the more fundamental conceptual dimension</w:t>
      </w:r>
      <w:r w:rsidR="00BD18A6">
        <w:rPr>
          <w:lang w:val="en-US"/>
        </w:rPr>
        <w:t xml:space="preserve">, </w:t>
      </w:r>
      <w:r w:rsidRPr="007D1621">
        <w:rPr>
          <w:lang w:val="en-US"/>
        </w:rPr>
        <w:t>namely, how to reconcile two different paradigms of justice. This suggests the existence of a conceptual gap in fiscal policy formulation, which has thus far been more technocratic than normatively reflective.</w:t>
      </w:r>
    </w:p>
    <w:p w14:paraId="7CA6AE45" w14:textId="77777777" w:rsidR="007D1621" w:rsidRPr="007D1621" w:rsidRDefault="007D1621" w:rsidP="007D1621">
      <w:pPr>
        <w:pBdr>
          <w:top w:val="nil"/>
          <w:left w:val="nil"/>
          <w:bottom w:val="nil"/>
          <w:right w:val="nil"/>
          <w:between w:val="nil"/>
        </w:pBdr>
        <w:spacing w:line="360" w:lineRule="auto"/>
        <w:ind w:firstLine="426"/>
        <w:jc w:val="both"/>
        <w:textDirection w:val="btLr"/>
        <w:rPr>
          <w:lang w:val="en-US"/>
        </w:rPr>
      </w:pPr>
      <w:r w:rsidRPr="007D1621">
        <w:rPr>
          <w:lang w:val="en-US"/>
        </w:rPr>
        <w:t>From a theoretical perspective, this study contributes to the development of public economics and Islamic economics literature by shifting the analytical focus from an instrument-based approach to a meaning-centered analysis. This approach broadens the discourse on fiscal justice by positioning legitimacy, perception, and values as key elements in understanding policy effectiveness and acceptance. Thus, this study not only fills an empirical gap but also offers an alternative conceptual framework for interpreting fiscal policy in a more holistic manner.</w:t>
      </w:r>
    </w:p>
    <w:p w14:paraId="21787704" w14:textId="77777777" w:rsidR="007D1621" w:rsidRPr="007D1621" w:rsidRDefault="007D1621" w:rsidP="007D1621">
      <w:pPr>
        <w:pBdr>
          <w:top w:val="nil"/>
          <w:left w:val="nil"/>
          <w:bottom w:val="nil"/>
          <w:right w:val="nil"/>
          <w:between w:val="nil"/>
        </w:pBdr>
        <w:spacing w:line="360" w:lineRule="auto"/>
        <w:ind w:firstLine="426"/>
        <w:jc w:val="both"/>
        <w:textDirection w:val="btLr"/>
        <w:rPr>
          <w:lang w:val="en-US"/>
        </w:rPr>
      </w:pPr>
      <w:r w:rsidRPr="007D1621">
        <w:rPr>
          <w:lang w:val="en-US"/>
        </w:rPr>
        <w:t xml:space="preserve">From a practical standpoint, the findings call for a reorientation in fiscal policy formulation, particularly in countries with dual systems such as Indonesia. Government institutions and zakat authorities need to develop integration models that go beyond fiscal-administrative mechanisms by incorporating dimensions of </w:t>
      </w:r>
      <w:r w:rsidRPr="007D1621">
        <w:rPr>
          <w:lang w:val="en-US"/>
        </w:rPr>
        <w:lastRenderedPageBreak/>
        <w:t>social legitimacy and contextual notions of justice. Operationally, this can be achieved through: (1) strengthening policy design that systematically links zakat with state redistribution programs; (2) enhancing transparency and accountability in tax management to reinforce institutional legitimacy; and (3) developing regulatory frameworks capable of bridging differences in justice principles between Islamic and conventional systems.</w:t>
      </w:r>
    </w:p>
    <w:p w14:paraId="257AA84D" w14:textId="77777777" w:rsidR="007D1621" w:rsidRPr="007D1621" w:rsidRDefault="007D1621" w:rsidP="007D1621">
      <w:pPr>
        <w:pBdr>
          <w:top w:val="nil"/>
          <w:left w:val="nil"/>
          <w:bottom w:val="nil"/>
          <w:right w:val="nil"/>
          <w:between w:val="nil"/>
        </w:pBdr>
        <w:spacing w:line="360" w:lineRule="auto"/>
        <w:ind w:firstLine="426"/>
        <w:jc w:val="both"/>
        <w:textDirection w:val="btLr"/>
        <w:rPr>
          <w:lang w:val="en-US"/>
        </w:rPr>
      </w:pPr>
      <w:r w:rsidRPr="007D1621">
        <w:rPr>
          <w:lang w:val="en-US"/>
        </w:rPr>
        <w:t>For future research, further exploration is needed into the subjective experiences of communities in interpreting fiscal justice, particularly through qualitative field-based approaches such as in-depth interviews or policy ethnography. In addition, cross-country comparative studies are essential to understand how social and institutional contexts influence the construction of fiscal justice. The development of theoretical models that integrate moral and institutional dimensions into a unified analytical framework also remains an important agenda for future research.</w:t>
      </w:r>
    </w:p>
    <w:p w14:paraId="6D974F43" w14:textId="77777777" w:rsidR="007D1621" w:rsidRPr="007D1621" w:rsidRDefault="007D1621" w:rsidP="007D1621">
      <w:pPr>
        <w:pBdr>
          <w:top w:val="nil"/>
          <w:left w:val="nil"/>
          <w:bottom w:val="nil"/>
          <w:right w:val="nil"/>
          <w:between w:val="nil"/>
        </w:pBdr>
        <w:spacing w:line="360" w:lineRule="auto"/>
        <w:ind w:firstLine="426"/>
        <w:jc w:val="both"/>
        <w:textDirection w:val="btLr"/>
        <w:rPr>
          <w:lang w:val="en-US"/>
        </w:rPr>
      </w:pPr>
      <w:r w:rsidRPr="007D1621">
        <w:rPr>
          <w:lang w:val="en-US"/>
        </w:rPr>
        <w:t>In conclusion, this study emphasizes that building a just fiscal system cannot rely solely on optimizing policy instruments, but requires a deeper understanding of how justice itself is constructed, negotiated, and legitimized within social life.</w:t>
      </w:r>
    </w:p>
    <w:p w14:paraId="60C8AD81" w14:textId="77777777" w:rsidR="00B71137" w:rsidRDefault="00B71137">
      <w:pPr>
        <w:pBdr>
          <w:top w:val="nil"/>
          <w:left w:val="nil"/>
          <w:bottom w:val="nil"/>
          <w:right w:val="nil"/>
          <w:between w:val="nil"/>
        </w:pBdr>
        <w:spacing w:line="312" w:lineRule="auto"/>
        <w:ind w:firstLine="567"/>
        <w:jc w:val="both"/>
        <w:rPr>
          <w:lang w:val="en-ID"/>
        </w:rPr>
      </w:pPr>
    </w:p>
    <w:p w14:paraId="0DB52AEC" w14:textId="77777777" w:rsidR="007D1621" w:rsidRPr="007D1621" w:rsidRDefault="007D1621">
      <w:pPr>
        <w:pBdr>
          <w:top w:val="nil"/>
          <w:left w:val="nil"/>
          <w:bottom w:val="nil"/>
          <w:right w:val="nil"/>
          <w:between w:val="nil"/>
        </w:pBdr>
        <w:spacing w:line="312" w:lineRule="auto"/>
        <w:ind w:firstLine="567"/>
        <w:jc w:val="both"/>
        <w:rPr>
          <w:lang w:val="en-ID"/>
        </w:rPr>
      </w:pPr>
    </w:p>
    <w:p w14:paraId="7A3C5947" w14:textId="77777777" w:rsidR="00B71137" w:rsidRPr="00BD5C66" w:rsidRDefault="00000000">
      <w:pPr>
        <w:pBdr>
          <w:top w:val="nil"/>
          <w:left w:val="nil"/>
          <w:bottom w:val="nil"/>
          <w:right w:val="nil"/>
          <w:between w:val="nil"/>
        </w:pBdr>
        <w:jc w:val="center"/>
        <w:rPr>
          <w:b/>
          <w:bCs/>
          <w:color w:val="000000"/>
          <w:lang w:val="en-US"/>
        </w:rPr>
      </w:pPr>
      <w:r w:rsidRPr="00BD5C66">
        <w:rPr>
          <w:b/>
          <w:bCs/>
          <w:lang w:val="en-US"/>
        </w:rPr>
        <w:t>REFERENCES</w:t>
      </w:r>
    </w:p>
    <w:sdt>
      <w:sdtPr>
        <w:rPr>
          <w:color w:val="000000"/>
          <w:lang w:val="en-US"/>
        </w:rPr>
        <w:tag w:val="MENDELEY_BIBLIOGRAPHY"/>
        <w:id w:val="-73675410"/>
        <w:placeholder>
          <w:docPart w:val="DefaultPlaceholder_-1854013440"/>
        </w:placeholder>
      </w:sdtPr>
      <w:sdtContent>
        <w:p w14:paraId="7839E5CF" w14:textId="77777777" w:rsidR="00BD18A6" w:rsidRPr="00BD18A6" w:rsidRDefault="00BD18A6" w:rsidP="00BD18A6">
          <w:pPr>
            <w:autoSpaceDE w:val="0"/>
            <w:autoSpaceDN w:val="0"/>
            <w:ind w:hanging="480"/>
            <w:jc w:val="both"/>
            <w:divId w:val="302782473"/>
            <w:rPr>
              <w:color w:val="000000"/>
            </w:rPr>
          </w:pPr>
          <w:r w:rsidRPr="00BD18A6">
            <w:rPr>
              <w:color w:val="000000"/>
            </w:rPr>
            <w:t xml:space="preserve">Ascarya. (2022). The role of Islamic social finance in achieving SDGs. </w:t>
          </w:r>
          <w:r w:rsidRPr="00BD18A6">
            <w:rPr>
              <w:i/>
              <w:iCs/>
              <w:color w:val="000000"/>
            </w:rPr>
            <w:t>Journal of Islamic Monetary Economics and Finance</w:t>
          </w:r>
          <w:r w:rsidRPr="00BD18A6">
            <w:rPr>
              <w:color w:val="000000"/>
            </w:rPr>
            <w:t xml:space="preserve">, </w:t>
          </w:r>
          <w:r w:rsidRPr="00BD18A6">
            <w:rPr>
              <w:i/>
              <w:iCs/>
              <w:color w:val="000000"/>
            </w:rPr>
            <w:t>8</w:t>
          </w:r>
          <w:r w:rsidRPr="00BD18A6">
            <w:rPr>
              <w:color w:val="000000"/>
            </w:rPr>
            <w:t>(2), 185–210. https://doi.org/10.21098/jimf.v8i2.1523</w:t>
          </w:r>
        </w:p>
        <w:p w14:paraId="6032417D" w14:textId="77777777" w:rsidR="00BD18A6" w:rsidRPr="00BD18A6" w:rsidRDefault="00BD18A6" w:rsidP="00BD18A6">
          <w:pPr>
            <w:autoSpaceDE w:val="0"/>
            <w:autoSpaceDN w:val="0"/>
            <w:ind w:hanging="480"/>
            <w:jc w:val="both"/>
            <w:divId w:val="777333483"/>
            <w:rPr>
              <w:color w:val="000000"/>
            </w:rPr>
          </w:pPr>
          <w:r w:rsidRPr="00BD18A6">
            <w:rPr>
              <w:color w:val="000000"/>
            </w:rPr>
            <w:t xml:space="preserve">Auerbach, A. J., &amp; Gorodnichenko, Y. (2020). Fiscal policy and output stabilization. </w:t>
          </w:r>
          <w:r w:rsidRPr="00BD18A6">
            <w:rPr>
              <w:i/>
              <w:iCs/>
              <w:color w:val="000000"/>
            </w:rPr>
            <w:t>American Economic Journal: Economic Policy</w:t>
          </w:r>
          <w:r w:rsidRPr="00BD18A6">
            <w:rPr>
              <w:color w:val="000000"/>
            </w:rPr>
            <w:t xml:space="preserve">, </w:t>
          </w:r>
          <w:r w:rsidRPr="00BD18A6">
            <w:rPr>
              <w:i/>
              <w:iCs/>
              <w:color w:val="000000"/>
            </w:rPr>
            <w:t>12</w:t>
          </w:r>
          <w:r w:rsidRPr="00BD18A6">
            <w:rPr>
              <w:color w:val="000000"/>
            </w:rPr>
            <w:t>(2), 1–34. https://doi.org/10.1257/pol.20170341</w:t>
          </w:r>
        </w:p>
        <w:p w14:paraId="03074C07" w14:textId="77777777" w:rsidR="00BD18A6" w:rsidRPr="00BD18A6" w:rsidRDefault="00BD18A6" w:rsidP="00BD18A6">
          <w:pPr>
            <w:autoSpaceDE w:val="0"/>
            <w:autoSpaceDN w:val="0"/>
            <w:ind w:hanging="480"/>
            <w:jc w:val="both"/>
            <w:divId w:val="2117482249"/>
            <w:rPr>
              <w:color w:val="000000"/>
            </w:rPr>
          </w:pPr>
          <w:r w:rsidRPr="00BD18A6">
            <w:rPr>
              <w:color w:val="000000"/>
            </w:rPr>
            <w:t xml:space="preserve">Aziz, N. F. (2023). Zakat research trends: A bibliometric analysis. </w:t>
          </w:r>
          <w:r w:rsidRPr="00BD18A6">
            <w:rPr>
              <w:i/>
              <w:iCs/>
              <w:color w:val="000000"/>
            </w:rPr>
            <w:t>Journal of Islamic Finance</w:t>
          </w:r>
          <w:r w:rsidRPr="00BD18A6">
            <w:rPr>
              <w:color w:val="000000"/>
            </w:rPr>
            <w:t>.</w:t>
          </w:r>
        </w:p>
        <w:p w14:paraId="49FC666F" w14:textId="77777777" w:rsidR="00BD18A6" w:rsidRPr="00BD18A6" w:rsidRDefault="00BD18A6" w:rsidP="00BD18A6">
          <w:pPr>
            <w:autoSpaceDE w:val="0"/>
            <w:autoSpaceDN w:val="0"/>
            <w:ind w:hanging="480"/>
            <w:jc w:val="both"/>
            <w:divId w:val="1588465055"/>
            <w:rPr>
              <w:color w:val="000000"/>
            </w:rPr>
          </w:pPr>
          <w:r w:rsidRPr="00BD18A6">
            <w:rPr>
              <w:color w:val="000000"/>
            </w:rPr>
            <w:t xml:space="preserve">(BAZNAS), B. A. Z. N. (2023). </w:t>
          </w:r>
          <w:r w:rsidRPr="00BD18A6">
            <w:rPr>
              <w:i/>
              <w:iCs/>
              <w:color w:val="000000"/>
            </w:rPr>
            <w:t>Outlook Zakat Indonesia 2023</w:t>
          </w:r>
          <w:r w:rsidRPr="00BD18A6">
            <w:rPr>
              <w:color w:val="000000"/>
            </w:rPr>
            <w:t>. https://baznas.go.id</w:t>
          </w:r>
        </w:p>
        <w:p w14:paraId="72F28B83" w14:textId="77777777" w:rsidR="00BD18A6" w:rsidRPr="00BD18A6" w:rsidRDefault="00BD18A6" w:rsidP="00BD18A6">
          <w:pPr>
            <w:autoSpaceDE w:val="0"/>
            <w:autoSpaceDN w:val="0"/>
            <w:ind w:hanging="480"/>
            <w:jc w:val="both"/>
            <w:divId w:val="199631862"/>
            <w:rPr>
              <w:color w:val="000000"/>
            </w:rPr>
          </w:pPr>
          <w:r w:rsidRPr="00BD18A6">
            <w:rPr>
              <w:color w:val="000000"/>
            </w:rPr>
            <w:t xml:space="preserve">Bird, R. M., &amp; Zolt, E. M. (2021). Taxation and inequality in the 21st century. </w:t>
          </w:r>
          <w:r w:rsidRPr="00BD18A6">
            <w:rPr>
              <w:i/>
              <w:iCs/>
              <w:color w:val="000000"/>
            </w:rPr>
            <w:lastRenderedPageBreak/>
            <w:t>World Development</w:t>
          </w:r>
          <w:r w:rsidRPr="00BD18A6">
            <w:rPr>
              <w:color w:val="000000"/>
            </w:rPr>
            <w:t xml:space="preserve">, </w:t>
          </w:r>
          <w:r w:rsidRPr="00BD18A6">
            <w:rPr>
              <w:i/>
              <w:iCs/>
              <w:color w:val="000000"/>
            </w:rPr>
            <w:t>142</w:t>
          </w:r>
          <w:r w:rsidRPr="00BD18A6">
            <w:rPr>
              <w:color w:val="000000"/>
            </w:rPr>
            <w:t>, 105123. https://doi.org/10.1016/j.worlddev.2020.105123</w:t>
          </w:r>
        </w:p>
        <w:p w14:paraId="5DDF139A" w14:textId="77777777" w:rsidR="00BD18A6" w:rsidRPr="00BD18A6" w:rsidRDefault="00BD18A6" w:rsidP="00BD18A6">
          <w:pPr>
            <w:autoSpaceDE w:val="0"/>
            <w:autoSpaceDN w:val="0"/>
            <w:ind w:hanging="480"/>
            <w:jc w:val="both"/>
            <w:divId w:val="795221728"/>
            <w:rPr>
              <w:color w:val="000000"/>
            </w:rPr>
          </w:pPr>
          <w:r w:rsidRPr="00BD18A6">
            <w:rPr>
              <w:color w:val="000000"/>
            </w:rPr>
            <w:t xml:space="preserve">Bowen, G. A. (2009). Document analysis as a qualitative research method. </w:t>
          </w:r>
          <w:r w:rsidRPr="00BD18A6">
            <w:rPr>
              <w:i/>
              <w:iCs/>
              <w:color w:val="000000"/>
            </w:rPr>
            <w:t>Qualitative Research Journal</w:t>
          </w:r>
          <w:r w:rsidRPr="00BD18A6">
            <w:rPr>
              <w:color w:val="000000"/>
            </w:rPr>
            <w:t xml:space="preserve">, </w:t>
          </w:r>
          <w:r w:rsidRPr="00BD18A6">
            <w:rPr>
              <w:i/>
              <w:iCs/>
              <w:color w:val="000000"/>
            </w:rPr>
            <w:t>9</w:t>
          </w:r>
          <w:r w:rsidRPr="00BD18A6">
            <w:rPr>
              <w:color w:val="000000"/>
            </w:rPr>
            <w:t>(2), 27–40. https://doi.org/10.3316/QRJ0902027</w:t>
          </w:r>
        </w:p>
        <w:p w14:paraId="51FFF441" w14:textId="77777777" w:rsidR="00BD18A6" w:rsidRPr="00BD18A6" w:rsidRDefault="00BD18A6" w:rsidP="00BD18A6">
          <w:pPr>
            <w:autoSpaceDE w:val="0"/>
            <w:autoSpaceDN w:val="0"/>
            <w:ind w:hanging="480"/>
            <w:jc w:val="both"/>
            <w:divId w:val="2104916181"/>
            <w:rPr>
              <w:color w:val="000000"/>
            </w:rPr>
          </w:pPr>
          <w:r w:rsidRPr="00BD18A6">
            <w:rPr>
              <w:color w:val="000000"/>
            </w:rPr>
            <w:t xml:space="preserve">Braun, V., &amp; Clarke, V. (2021). One size fits all? What counts as quality practice in (reflexive) thematic analysis? </w:t>
          </w:r>
          <w:r w:rsidRPr="00BD18A6">
            <w:rPr>
              <w:i/>
              <w:iCs/>
              <w:color w:val="000000"/>
            </w:rPr>
            <w:t>Qualitative Research in Psychology</w:t>
          </w:r>
          <w:r w:rsidRPr="00BD18A6">
            <w:rPr>
              <w:color w:val="000000"/>
            </w:rPr>
            <w:t xml:space="preserve">, </w:t>
          </w:r>
          <w:r w:rsidRPr="00BD18A6">
            <w:rPr>
              <w:i/>
              <w:iCs/>
              <w:color w:val="000000"/>
            </w:rPr>
            <w:t>18</w:t>
          </w:r>
          <w:r w:rsidRPr="00BD18A6">
            <w:rPr>
              <w:color w:val="000000"/>
            </w:rPr>
            <w:t>(3), 328–352. https://doi.org/10.1080/14780887.2020.1769238</w:t>
          </w:r>
        </w:p>
        <w:p w14:paraId="634A3E5F" w14:textId="77777777" w:rsidR="00BD18A6" w:rsidRPr="00BD18A6" w:rsidRDefault="00BD18A6" w:rsidP="00BD18A6">
          <w:pPr>
            <w:autoSpaceDE w:val="0"/>
            <w:autoSpaceDN w:val="0"/>
            <w:ind w:hanging="480"/>
            <w:jc w:val="both"/>
            <w:divId w:val="918637733"/>
            <w:rPr>
              <w:color w:val="000000"/>
            </w:rPr>
          </w:pPr>
          <w:r w:rsidRPr="00BD18A6">
            <w:rPr>
              <w:color w:val="000000"/>
            </w:rPr>
            <w:t xml:space="preserve">Chancel, L. (2022). </w:t>
          </w:r>
          <w:r w:rsidRPr="00BD18A6">
            <w:rPr>
              <w:i/>
              <w:iCs/>
              <w:color w:val="000000"/>
            </w:rPr>
            <w:t>World Inequality Report 2022</w:t>
          </w:r>
          <w:r w:rsidRPr="00BD18A6">
            <w:rPr>
              <w:color w:val="000000"/>
            </w:rPr>
            <w:t>. https://wir2022.wid.world</w:t>
          </w:r>
        </w:p>
        <w:p w14:paraId="3247BDC5" w14:textId="77777777" w:rsidR="00BD18A6" w:rsidRPr="00BD18A6" w:rsidRDefault="00BD18A6" w:rsidP="00BD18A6">
          <w:pPr>
            <w:autoSpaceDE w:val="0"/>
            <w:autoSpaceDN w:val="0"/>
            <w:ind w:hanging="480"/>
            <w:jc w:val="both"/>
            <w:divId w:val="111176121"/>
            <w:rPr>
              <w:color w:val="000000"/>
            </w:rPr>
          </w:pPr>
          <w:r w:rsidRPr="00BD18A6">
            <w:rPr>
              <w:color w:val="000000"/>
            </w:rPr>
            <w:t xml:space="preserve">Chapra, M. U. (2021). </w:t>
          </w:r>
          <w:r w:rsidRPr="00BD18A6">
            <w:rPr>
              <w:i/>
              <w:iCs/>
              <w:color w:val="000000"/>
            </w:rPr>
            <w:t>Islamic economics: What it is and how it developed</w:t>
          </w:r>
          <w:r w:rsidRPr="00BD18A6">
            <w:rPr>
              <w:color w:val="000000"/>
            </w:rPr>
            <w:t>. Islamic Research and Training Institute (IRTI). https://irti.org</w:t>
          </w:r>
        </w:p>
        <w:p w14:paraId="054800B1" w14:textId="77777777" w:rsidR="00BD18A6" w:rsidRPr="00BD18A6" w:rsidRDefault="00BD18A6" w:rsidP="00BD18A6">
          <w:pPr>
            <w:autoSpaceDE w:val="0"/>
            <w:autoSpaceDN w:val="0"/>
            <w:ind w:hanging="480"/>
            <w:jc w:val="both"/>
            <w:divId w:val="1996717215"/>
            <w:rPr>
              <w:color w:val="000000"/>
            </w:rPr>
          </w:pPr>
          <w:r w:rsidRPr="00BD18A6">
            <w:rPr>
              <w:color w:val="000000"/>
            </w:rPr>
            <w:t xml:space="preserve">Creswell, J. W., &amp; Poth, C. N. (2018). Qualitative inquiry and research design: Choosing among five approaches (4th ed.). In </w:t>
          </w:r>
          <w:r w:rsidRPr="00BD18A6">
            <w:rPr>
              <w:i/>
              <w:iCs/>
              <w:color w:val="000000"/>
            </w:rPr>
            <w:t>SAGE Publication</w:t>
          </w:r>
          <w:r w:rsidRPr="00BD18A6">
            <w:rPr>
              <w:color w:val="000000"/>
            </w:rPr>
            <w:t>. SAGE Publications.</w:t>
          </w:r>
        </w:p>
        <w:p w14:paraId="364F3CC6" w14:textId="77777777" w:rsidR="00BD18A6" w:rsidRPr="00BD18A6" w:rsidRDefault="00BD18A6" w:rsidP="00BD18A6">
          <w:pPr>
            <w:autoSpaceDE w:val="0"/>
            <w:autoSpaceDN w:val="0"/>
            <w:ind w:hanging="480"/>
            <w:jc w:val="both"/>
            <w:divId w:val="2137016290"/>
            <w:rPr>
              <w:color w:val="000000"/>
            </w:rPr>
          </w:pPr>
          <w:r w:rsidRPr="00BD18A6">
            <w:rPr>
              <w:color w:val="000000"/>
            </w:rPr>
            <w:t xml:space="preserve">Firdaus, M., Beik, I. S., &amp; Irawan, T. (2021). Economic estimation and determinations of Zakat potential in Indonesia. </w:t>
          </w:r>
          <w:r w:rsidRPr="00BD18A6">
            <w:rPr>
              <w:i/>
              <w:iCs/>
              <w:color w:val="000000"/>
            </w:rPr>
            <w:t>International Journal of Zakat</w:t>
          </w:r>
          <w:r w:rsidRPr="00BD18A6">
            <w:rPr>
              <w:color w:val="000000"/>
            </w:rPr>
            <w:t xml:space="preserve">, </w:t>
          </w:r>
          <w:r w:rsidRPr="00BD18A6">
            <w:rPr>
              <w:i/>
              <w:iCs/>
              <w:color w:val="000000"/>
            </w:rPr>
            <w:t>6</w:t>
          </w:r>
          <w:r w:rsidRPr="00BD18A6">
            <w:rPr>
              <w:color w:val="000000"/>
            </w:rPr>
            <w:t>(1), 1–15. https://doi.org/10.37706/ijaz.v6i1.252</w:t>
          </w:r>
        </w:p>
        <w:p w14:paraId="18DB53CB" w14:textId="77777777" w:rsidR="00BD18A6" w:rsidRPr="00BD18A6" w:rsidRDefault="00BD18A6" w:rsidP="00BD18A6">
          <w:pPr>
            <w:autoSpaceDE w:val="0"/>
            <w:autoSpaceDN w:val="0"/>
            <w:ind w:hanging="480"/>
            <w:jc w:val="both"/>
            <w:divId w:val="1077705941"/>
            <w:rPr>
              <w:color w:val="000000"/>
            </w:rPr>
          </w:pPr>
          <w:r w:rsidRPr="00BD18A6">
            <w:rPr>
              <w:color w:val="000000"/>
            </w:rPr>
            <w:t xml:space="preserve">Hassan, M. K., Rabbani, M. R., &amp; Ali, M. A. M. (2022). Challenges for the Islamic finance and banking in post COVID era. </w:t>
          </w:r>
          <w:r w:rsidRPr="00BD18A6">
            <w:rPr>
              <w:i/>
              <w:iCs/>
              <w:color w:val="000000"/>
            </w:rPr>
            <w:t>Pacific-Basin Finance Journal</w:t>
          </w:r>
          <w:r w:rsidRPr="00BD18A6">
            <w:rPr>
              <w:color w:val="000000"/>
            </w:rPr>
            <w:t xml:space="preserve">, </w:t>
          </w:r>
          <w:r w:rsidRPr="00BD18A6">
            <w:rPr>
              <w:i/>
              <w:iCs/>
              <w:color w:val="000000"/>
            </w:rPr>
            <w:t>73</w:t>
          </w:r>
          <w:r w:rsidRPr="00BD18A6">
            <w:rPr>
              <w:color w:val="000000"/>
            </w:rPr>
            <w:t>, 101786. https://doi.org/10.1016/j.pacfin.2022.101786</w:t>
          </w:r>
        </w:p>
        <w:p w14:paraId="312A60BF" w14:textId="77777777" w:rsidR="00BD18A6" w:rsidRPr="00BD18A6" w:rsidRDefault="00BD18A6" w:rsidP="00BD18A6">
          <w:pPr>
            <w:autoSpaceDE w:val="0"/>
            <w:autoSpaceDN w:val="0"/>
            <w:ind w:hanging="480"/>
            <w:jc w:val="both"/>
            <w:divId w:val="416756891"/>
            <w:rPr>
              <w:color w:val="000000"/>
            </w:rPr>
          </w:pPr>
          <w:r w:rsidRPr="00BD18A6">
            <w:rPr>
              <w:color w:val="000000"/>
            </w:rPr>
            <w:t xml:space="preserve">Indonesia, K. K. R. (2023). </w:t>
          </w:r>
          <w:r w:rsidRPr="00BD18A6">
            <w:rPr>
              <w:i/>
              <w:iCs/>
              <w:color w:val="000000"/>
            </w:rPr>
            <w:t>Anggaran Pendapatan dan Belanja Negara (APBN) 2023: Buku II Nota Keuangan</w:t>
          </w:r>
          <w:r w:rsidRPr="00BD18A6">
            <w:rPr>
              <w:color w:val="000000"/>
            </w:rPr>
            <w:t>. https://www.kemenkeu.go.id/apbn2023</w:t>
          </w:r>
        </w:p>
        <w:p w14:paraId="41CE5C99" w14:textId="77777777" w:rsidR="00BD18A6" w:rsidRPr="00BD18A6" w:rsidRDefault="00BD18A6" w:rsidP="00BD18A6">
          <w:pPr>
            <w:autoSpaceDE w:val="0"/>
            <w:autoSpaceDN w:val="0"/>
            <w:ind w:hanging="480"/>
            <w:jc w:val="both"/>
            <w:divId w:val="1052387902"/>
            <w:rPr>
              <w:color w:val="000000"/>
            </w:rPr>
          </w:pPr>
          <w:r w:rsidRPr="00BD18A6">
            <w:rPr>
              <w:color w:val="000000"/>
            </w:rPr>
            <w:t xml:space="preserve">Kasri, R. A., &amp; Putri, N. I. S. (2020). The role of zakat in poverty alleviation: Evidence from Indonesia. </w:t>
          </w:r>
          <w:r w:rsidRPr="00BD18A6">
            <w:rPr>
              <w:i/>
              <w:iCs/>
              <w:color w:val="000000"/>
            </w:rPr>
            <w:t>Journal of Islamic Accounting and Business Research</w:t>
          </w:r>
          <w:r w:rsidRPr="00BD18A6">
            <w:rPr>
              <w:color w:val="000000"/>
            </w:rPr>
            <w:t xml:space="preserve">, </w:t>
          </w:r>
          <w:r w:rsidRPr="00BD18A6">
            <w:rPr>
              <w:i/>
              <w:iCs/>
              <w:color w:val="000000"/>
            </w:rPr>
            <w:t>11</w:t>
          </w:r>
          <w:r w:rsidRPr="00BD18A6">
            <w:rPr>
              <w:color w:val="000000"/>
            </w:rPr>
            <w:t>(5), 1103–1121. https://doi.org/10.1108/JIABR-05-2018-0063</w:t>
          </w:r>
        </w:p>
        <w:p w14:paraId="24C331ED" w14:textId="77777777" w:rsidR="00BD18A6" w:rsidRPr="00BD18A6" w:rsidRDefault="00BD18A6" w:rsidP="00BD18A6">
          <w:pPr>
            <w:autoSpaceDE w:val="0"/>
            <w:autoSpaceDN w:val="0"/>
            <w:ind w:hanging="480"/>
            <w:jc w:val="both"/>
            <w:divId w:val="726804692"/>
            <w:rPr>
              <w:color w:val="000000"/>
            </w:rPr>
          </w:pPr>
          <w:r w:rsidRPr="00BD18A6">
            <w:rPr>
              <w:color w:val="000000"/>
            </w:rPr>
            <w:t xml:space="preserve">Musonif, I., Romadona, M. A., Fatah, M. A., Zaman, M. F., Azis, K., &amp; Nasrin, S. (2026). Integrating Multiple Intelligences in Problem-Solving Approaches to Enhance Fiqh Learning for Middle School Students. </w:t>
          </w:r>
          <w:r w:rsidRPr="00BD18A6">
            <w:rPr>
              <w:i/>
              <w:iCs/>
              <w:color w:val="000000"/>
            </w:rPr>
            <w:t>Al-Tadzkiyyah: Jurnal Pendidikan Islam</w:t>
          </w:r>
          <w:r w:rsidRPr="00BD18A6">
            <w:rPr>
              <w:color w:val="000000"/>
            </w:rPr>
            <w:t xml:space="preserve">, </w:t>
          </w:r>
          <w:r w:rsidRPr="00BD18A6">
            <w:rPr>
              <w:i/>
              <w:iCs/>
              <w:color w:val="000000"/>
            </w:rPr>
            <w:t>17</w:t>
          </w:r>
          <w:r w:rsidRPr="00BD18A6">
            <w:rPr>
              <w:color w:val="000000"/>
            </w:rPr>
            <w:t>(1), 1–15. https://doi.org/https://doi.org/10.24042/atjpi.v17i1.30145</w:t>
          </w:r>
        </w:p>
        <w:p w14:paraId="6F5F0A7D" w14:textId="77777777" w:rsidR="00BD18A6" w:rsidRPr="00BD18A6" w:rsidRDefault="00BD18A6" w:rsidP="00BD18A6">
          <w:pPr>
            <w:autoSpaceDE w:val="0"/>
            <w:autoSpaceDN w:val="0"/>
            <w:ind w:hanging="480"/>
            <w:jc w:val="both"/>
            <w:divId w:val="1323893704"/>
            <w:rPr>
              <w:color w:val="000000"/>
            </w:rPr>
          </w:pPr>
          <w:r w:rsidRPr="00BD18A6">
            <w:rPr>
              <w:color w:val="000000"/>
            </w:rPr>
            <w:t xml:space="preserve">Nowell, L. S., Norris, J. M., White, D. E., &amp; Moules, N. J. (2017). Thematic analysis: Striving to meet the trustworthiness criteria. </w:t>
          </w:r>
          <w:r w:rsidRPr="00BD18A6">
            <w:rPr>
              <w:i/>
              <w:iCs/>
              <w:color w:val="000000"/>
            </w:rPr>
            <w:t>International Journal of Qualitative Methods</w:t>
          </w:r>
          <w:r w:rsidRPr="00BD18A6">
            <w:rPr>
              <w:color w:val="000000"/>
            </w:rPr>
            <w:t xml:space="preserve">, </w:t>
          </w:r>
          <w:r w:rsidRPr="00BD18A6">
            <w:rPr>
              <w:i/>
              <w:iCs/>
              <w:color w:val="000000"/>
            </w:rPr>
            <w:t>16</w:t>
          </w:r>
          <w:r w:rsidRPr="00BD18A6">
            <w:rPr>
              <w:color w:val="000000"/>
            </w:rPr>
            <w:t>(1). https://doi.org/10.1177/1609406917733847</w:t>
          </w:r>
        </w:p>
        <w:p w14:paraId="2C2262DC" w14:textId="77777777" w:rsidR="00BD18A6" w:rsidRPr="00BD18A6" w:rsidRDefault="00BD18A6" w:rsidP="00BD18A6">
          <w:pPr>
            <w:autoSpaceDE w:val="0"/>
            <w:autoSpaceDN w:val="0"/>
            <w:ind w:hanging="480"/>
            <w:jc w:val="both"/>
            <w:divId w:val="455370760"/>
            <w:rPr>
              <w:color w:val="000000"/>
            </w:rPr>
          </w:pPr>
          <w:r w:rsidRPr="00BD18A6">
            <w:rPr>
              <w:color w:val="000000"/>
            </w:rPr>
            <w:t xml:space="preserve">Stiglitz, J. E. (2021). Income inequality and fiscal policy. </w:t>
          </w:r>
          <w:r w:rsidRPr="00BD18A6">
            <w:rPr>
              <w:i/>
              <w:iCs/>
              <w:color w:val="000000"/>
            </w:rPr>
            <w:t>Oxford Review of Economic Policy</w:t>
          </w:r>
          <w:r w:rsidRPr="00BD18A6">
            <w:rPr>
              <w:color w:val="000000"/>
            </w:rPr>
            <w:t xml:space="preserve">, </w:t>
          </w:r>
          <w:r w:rsidRPr="00BD18A6">
            <w:rPr>
              <w:i/>
              <w:iCs/>
              <w:color w:val="000000"/>
            </w:rPr>
            <w:t>37</w:t>
          </w:r>
          <w:r w:rsidRPr="00BD18A6">
            <w:rPr>
              <w:color w:val="000000"/>
            </w:rPr>
            <w:t>(4), 629–647. https://doi.org/10.1093/oxrep/grab031</w:t>
          </w:r>
        </w:p>
        <w:p w14:paraId="3E3758BB" w14:textId="77777777" w:rsidR="00BD18A6" w:rsidRPr="00BD18A6" w:rsidRDefault="00BD18A6" w:rsidP="00BD18A6">
          <w:pPr>
            <w:autoSpaceDE w:val="0"/>
            <w:autoSpaceDN w:val="0"/>
            <w:ind w:hanging="480"/>
            <w:jc w:val="both"/>
            <w:divId w:val="824509334"/>
            <w:rPr>
              <w:color w:val="000000"/>
            </w:rPr>
          </w:pPr>
          <w:r w:rsidRPr="00BD18A6">
            <w:rPr>
              <w:color w:val="000000"/>
            </w:rPr>
            <w:t xml:space="preserve">Thaker, H. M. T. (2021). Islamic fiscal policy review. </w:t>
          </w:r>
          <w:r w:rsidRPr="00BD18A6">
            <w:rPr>
              <w:i/>
              <w:iCs/>
              <w:color w:val="000000"/>
            </w:rPr>
            <w:t>Journal of Islamic Economics</w:t>
          </w:r>
          <w:r w:rsidRPr="00BD18A6">
            <w:rPr>
              <w:color w:val="000000"/>
            </w:rPr>
            <w:t>.</w:t>
          </w:r>
        </w:p>
        <w:p w14:paraId="6C53CA5C" w14:textId="77777777" w:rsidR="00BD18A6" w:rsidRPr="00BD18A6" w:rsidRDefault="00BD18A6" w:rsidP="00BD18A6">
          <w:pPr>
            <w:autoSpaceDE w:val="0"/>
            <w:autoSpaceDN w:val="0"/>
            <w:ind w:hanging="480"/>
            <w:jc w:val="both"/>
            <w:divId w:val="642005052"/>
            <w:rPr>
              <w:color w:val="000000"/>
            </w:rPr>
          </w:pPr>
          <w:r w:rsidRPr="00BD18A6">
            <w:rPr>
              <w:color w:val="000000"/>
            </w:rPr>
            <w:t xml:space="preserve">Yusuf, M., &amp; Derus, A. (2022). Public perception of zakat and taxation in Muslim countries. </w:t>
          </w:r>
          <w:r w:rsidRPr="00BD18A6">
            <w:rPr>
              <w:i/>
              <w:iCs/>
              <w:color w:val="000000"/>
            </w:rPr>
            <w:t>Journal of Islamic Accounting and Business Research</w:t>
          </w:r>
          <w:r w:rsidRPr="00BD18A6">
            <w:rPr>
              <w:color w:val="000000"/>
            </w:rPr>
            <w:t xml:space="preserve">, </w:t>
          </w:r>
          <w:r w:rsidRPr="00BD18A6">
            <w:rPr>
              <w:i/>
              <w:iCs/>
              <w:color w:val="000000"/>
            </w:rPr>
            <w:t>13</w:t>
          </w:r>
          <w:r w:rsidRPr="00BD18A6">
            <w:rPr>
              <w:color w:val="000000"/>
            </w:rPr>
            <w:t>(7), 1032–</w:t>
          </w:r>
          <w:r w:rsidRPr="00BD18A6">
            <w:rPr>
              <w:color w:val="000000"/>
            </w:rPr>
            <w:lastRenderedPageBreak/>
            <w:t>1048. https://doi.org/10.1108/JIABR-01-2021-0025</w:t>
          </w:r>
        </w:p>
        <w:p w14:paraId="65870FC0" w14:textId="77777777" w:rsidR="00B71137" w:rsidRPr="00BD5C66" w:rsidRDefault="00BD18A6" w:rsidP="00BD18A6">
          <w:pPr>
            <w:jc w:val="both"/>
            <w:rPr>
              <w:lang w:val="en-US"/>
            </w:rPr>
          </w:pPr>
          <w:r w:rsidRPr="00BD18A6">
            <w:rPr>
              <w:color w:val="000000"/>
            </w:rPr>
            <w:t> </w:t>
          </w:r>
        </w:p>
      </w:sdtContent>
    </w:sdt>
    <w:sectPr w:rsidR="00B71137" w:rsidRPr="00BD5C66" w:rsidSect="003B1197">
      <w:headerReference w:type="even" r:id="rId10"/>
      <w:headerReference w:type="default" r:id="rId11"/>
      <w:footerReference w:type="even" r:id="rId12"/>
      <w:footerReference w:type="default" r:id="rId13"/>
      <w:headerReference w:type="first" r:id="rId14"/>
      <w:footerReference w:type="first" r:id="rId15"/>
      <w:pgSz w:w="10319" w:h="14572"/>
      <w:pgMar w:top="567" w:right="1247" w:bottom="567" w:left="1134" w:header="709" w:footer="1418" w:gutter="0"/>
      <w:pgNumType w:start="3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46055" w14:textId="77777777" w:rsidR="00FD40DD" w:rsidRDefault="00FD40DD">
      <w:r>
        <w:separator/>
      </w:r>
    </w:p>
  </w:endnote>
  <w:endnote w:type="continuationSeparator" w:id="0">
    <w:p w14:paraId="28D9A602" w14:textId="77777777" w:rsidR="00FD40DD" w:rsidRDefault="00FD40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F7D37FE7-D5DA-48F4-AE29-7F90634102A1}"/>
    <w:embedBold r:id="rId2" w:fontKey="{D2CF3738-709D-4888-8C53-35A227CAD644}"/>
    <w:embedBoldItalic r:id="rId3" w:fontKey="{9487D0BB-C2B0-454E-8B60-4D1F99034E61}"/>
  </w:font>
  <w:font w:name="Tahoma">
    <w:panose1 w:val="020B0604030504040204"/>
    <w:charset w:val="00"/>
    <w:family w:val="swiss"/>
    <w:pitch w:val="variable"/>
    <w:sig w:usb0="E1002EFF" w:usb1="C000605B" w:usb2="00000029" w:usb3="00000000" w:csb0="000101FF" w:csb1="00000000"/>
    <w:embedRegular r:id="rId4" w:fontKey="{5F56EF82-B4C5-41CC-93E3-495671ED2341}"/>
  </w:font>
  <w:font w:name="Calibri">
    <w:panose1 w:val="020F0502020204030204"/>
    <w:charset w:val="00"/>
    <w:family w:val="swiss"/>
    <w:pitch w:val="variable"/>
    <w:sig w:usb0="E4002EFF" w:usb1="C200247B" w:usb2="00000009" w:usb3="00000000" w:csb0="000001FF" w:csb1="00000000"/>
    <w:embedRegular r:id="rId5" w:fontKey="{7339C699-7FB8-4958-9F85-084EC0414C87}"/>
    <w:embedBold r:id="rId6" w:fontKey="{EB5A0A40-D79A-496D-9565-D9F52C529DB6}"/>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embedBold r:id="rId7" w:fontKey="{775D6577-6E16-460C-BC8F-F1E71515581D}"/>
  </w:font>
  <w:font w:name="Garamond">
    <w:panose1 w:val="02020404030301010803"/>
    <w:charset w:val="00"/>
    <w:family w:val="roman"/>
    <w:pitch w:val="variable"/>
    <w:sig w:usb0="00000287" w:usb1="00000000" w:usb2="00000000" w:usb3="00000000" w:csb0="0000009F" w:csb1="00000000"/>
    <w:embedRegular r:id="rId8" w:fontKey="{1D25482E-D14F-4050-B50F-C28ED5FBABE3}"/>
  </w:font>
  <w:font w:name="Georgia">
    <w:panose1 w:val="02040502050405020303"/>
    <w:charset w:val="00"/>
    <w:family w:val="roman"/>
    <w:pitch w:val="variable"/>
    <w:sig w:usb0="00000287" w:usb1="00000000" w:usb2="00000000" w:usb3="00000000" w:csb0="0000009F" w:csb1="00000000"/>
    <w:embedItalic r:id="rId9" w:fontKey="{FFD965A7-A42F-4001-BB0E-D164131876F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02124" w14:textId="77777777" w:rsidR="003B1197" w:rsidRDefault="003B1197">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7722549"/>
      <w:docPartObj>
        <w:docPartGallery w:val="Page Numbers (Bottom of Page)"/>
        <w:docPartUnique/>
      </w:docPartObj>
    </w:sdtPr>
    <w:sdtEndPr>
      <w:rPr>
        <w:noProof/>
      </w:rPr>
    </w:sdtEndPr>
    <w:sdtContent>
      <w:p w14:paraId="41868127" w14:textId="77F28E7D" w:rsidR="003B1197" w:rsidRDefault="003B1197">
        <w:pPr>
          <w:pStyle w:val="Footer"/>
          <w:ind w:left="0" w:hanging="2"/>
          <w:jc w:val="right"/>
        </w:pPr>
        <w:r>
          <w:fldChar w:fldCharType="begin"/>
        </w:r>
        <w:r>
          <w:instrText xml:space="preserve"> PAGE   \* MERGEFORMAT </w:instrText>
        </w:r>
        <w:r>
          <w:fldChar w:fldCharType="separate"/>
        </w:r>
        <w:r>
          <w:rPr>
            <w:noProof/>
          </w:rPr>
          <w:t>2</w:t>
        </w:r>
        <w:r>
          <w:rPr>
            <w:noProof/>
          </w:rPr>
          <w:fldChar w:fldCharType="end"/>
        </w:r>
      </w:p>
    </w:sdtContent>
  </w:sdt>
  <w:p w14:paraId="3D2B8FB6" w14:textId="77777777" w:rsidR="00B71137" w:rsidRDefault="00B71137">
    <w:pPr>
      <w:pBdr>
        <w:top w:val="nil"/>
        <w:left w:val="nil"/>
        <w:bottom w:val="nil"/>
        <w:right w:val="nil"/>
        <w:between w:val="nil"/>
      </w:pBdr>
      <w:tabs>
        <w:tab w:val="center" w:pos="4513"/>
        <w:tab w:val="right" w:pos="9026"/>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BC4DE" w14:textId="77777777" w:rsidR="003B1197" w:rsidRDefault="003B1197">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DA811" w14:textId="77777777" w:rsidR="00FD40DD" w:rsidRDefault="00FD40DD">
      <w:r>
        <w:separator/>
      </w:r>
    </w:p>
  </w:footnote>
  <w:footnote w:type="continuationSeparator" w:id="0">
    <w:p w14:paraId="6753896B" w14:textId="77777777" w:rsidR="00FD40DD" w:rsidRDefault="00FD40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9E3A9" w14:textId="77777777" w:rsidR="003B1197" w:rsidRDefault="003B1197">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1CF2D" w14:textId="77777777" w:rsidR="003B1197" w:rsidRDefault="003B1197" w:rsidP="003B1197">
    <w:pPr>
      <w:jc w:val="both"/>
      <w:rPr>
        <w:sz w:val="20"/>
        <w:szCs w:val="20"/>
      </w:rPr>
    </w:pPr>
  </w:p>
  <w:p w14:paraId="7235B933" w14:textId="77777777" w:rsidR="003B1197" w:rsidRDefault="003B1197" w:rsidP="003B1197">
    <w:pPr>
      <w:tabs>
        <w:tab w:val="left" w:pos="5245"/>
      </w:tabs>
      <w:jc w:val="both"/>
      <w:rPr>
        <w:sz w:val="20"/>
        <w:szCs w:val="20"/>
      </w:rPr>
    </w:pPr>
    <w:r>
      <w:rPr>
        <w:sz w:val="20"/>
        <w:szCs w:val="20"/>
      </w:rPr>
      <w:t xml:space="preserve">                  </w:t>
    </w:r>
    <w:r>
      <w:rPr>
        <w:sz w:val="20"/>
        <w:szCs w:val="20"/>
      </w:rPr>
      <w:t>Jurnal Tanbih, Volume 3 Nomor 2 Edisi 2026</w:t>
    </w:r>
    <w:r>
      <w:rPr>
        <w:sz w:val="20"/>
        <w:szCs w:val="20"/>
      </w:rPr>
      <w:tab/>
      <w:t xml:space="preserve">  ISSN (printed): ...</w:t>
    </w:r>
  </w:p>
  <w:p w14:paraId="120EE127" w14:textId="0D2147F7" w:rsidR="003B1197" w:rsidRDefault="003B1197" w:rsidP="003B1197">
    <w:pPr>
      <w:tabs>
        <w:tab w:val="left" w:pos="5245"/>
      </w:tabs>
      <w:jc w:val="both"/>
      <w:rPr>
        <w:sz w:val="20"/>
        <w:szCs w:val="20"/>
      </w:rPr>
    </w:pPr>
    <w:r>
      <w:rPr>
        <w:sz w:val="20"/>
        <w:szCs w:val="20"/>
      </w:rPr>
      <w:t xml:space="preserve">                  </w:t>
    </w:r>
    <w:r>
      <w:rPr>
        <w:sz w:val="20"/>
        <w:szCs w:val="20"/>
      </w:rPr>
      <w:t>Musonif</w:t>
    </w:r>
    <w:r>
      <w:rPr>
        <w:sz w:val="20"/>
        <w:szCs w:val="20"/>
      </w:rPr>
      <w:t>,</w:t>
    </w:r>
    <w:r>
      <w:rPr>
        <w:sz w:val="20"/>
        <w:szCs w:val="20"/>
      </w:rPr>
      <w:t xml:space="preserve"> dkk.</w:t>
    </w:r>
    <w:r>
      <w:rPr>
        <w:sz w:val="20"/>
        <w:szCs w:val="20"/>
      </w:rPr>
      <w:t xml:space="preserve"> </w:t>
    </w:r>
    <w:r>
      <w:rPr>
        <w:sz w:val="20"/>
        <w:szCs w:val="20"/>
      </w:rPr>
      <w:t>FISCAL JUSTICE IN ISLAMIC</w:t>
    </w:r>
    <w:r w:rsidRPr="004E25FB">
      <w:rPr>
        <w:sz w:val="20"/>
        <w:szCs w:val="20"/>
      </w:rPr>
      <w:t xml:space="preserve"> </w:t>
    </w:r>
    <w:r>
      <w:rPr>
        <w:sz w:val="20"/>
        <w:szCs w:val="20"/>
      </w:rPr>
      <w:t>...</w:t>
    </w:r>
    <w:r>
      <w:rPr>
        <w:sz w:val="20"/>
        <w:szCs w:val="20"/>
      </w:rPr>
      <w:tab/>
      <w:t xml:space="preserve">  ISSN (online)</w:t>
    </w:r>
    <w:r>
      <w:rPr>
        <w:sz w:val="20"/>
        <w:szCs w:val="20"/>
      </w:rPr>
      <w:tab/>
      <w:t xml:space="preserve">: </w:t>
    </w:r>
    <w:r w:rsidRPr="004E25FB">
      <w:rPr>
        <w:sz w:val="20"/>
        <w:szCs w:val="20"/>
      </w:rPr>
      <w:t>3046-8175</w:t>
    </w:r>
  </w:p>
  <w:p w14:paraId="1B869C95" w14:textId="77777777" w:rsidR="00B71137" w:rsidRDefault="00B71137">
    <w:pPr>
      <w:pBdr>
        <w:top w:val="nil"/>
        <w:left w:val="nil"/>
        <w:bottom w:val="nil"/>
        <w:right w:val="nil"/>
        <w:between w:val="nil"/>
      </w:pBdr>
      <w:tabs>
        <w:tab w:val="center" w:pos="4513"/>
        <w:tab w:val="right" w:pos="9026"/>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BF46D" w14:textId="77777777" w:rsidR="003B1197" w:rsidRDefault="003B1197">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D447B8"/>
    <w:multiLevelType w:val="multilevel"/>
    <w:tmpl w:val="664A7C44"/>
    <w:lvl w:ilvl="0">
      <w:start w:val="1"/>
      <w:numFmt w:val="upperLetter"/>
      <w:lvlText w:val="%1."/>
      <w:lvlJc w:val="left"/>
      <w:pPr>
        <w:ind w:left="720" w:hanging="360"/>
      </w:pPr>
      <w:rPr>
        <w:b/>
        <w:bCs/>
        <w:vertAlign w:val="baseline"/>
      </w:rPr>
    </w:lvl>
    <w:lvl w:ilvl="1">
      <w:start w:val="1"/>
      <w:numFmt w:val="decimal"/>
      <w:lvlText w:val="%2."/>
      <w:lvlJc w:val="left"/>
      <w:pPr>
        <w:ind w:left="1440" w:hanging="360"/>
      </w:pPr>
      <w:rPr>
        <w:rFonts w:ascii="Arial" w:eastAsia="Arial" w:hAnsi="Arial" w:cs="Arial"/>
        <w:b/>
        <w:bCs/>
        <w:vertAlign w:val="baseline"/>
      </w:rPr>
    </w:lvl>
    <w:lvl w:ilvl="2">
      <w:start w:val="1"/>
      <w:numFmt w:val="lowerLetter"/>
      <w:lvlText w:val="%3."/>
      <w:lvlJc w:val="lef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9688260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1137"/>
    <w:rsid w:val="00200A6B"/>
    <w:rsid w:val="00273BE8"/>
    <w:rsid w:val="003B1197"/>
    <w:rsid w:val="0064025D"/>
    <w:rsid w:val="0066124D"/>
    <w:rsid w:val="007D1621"/>
    <w:rsid w:val="0086769A"/>
    <w:rsid w:val="009D1EBC"/>
    <w:rsid w:val="00B71137"/>
    <w:rsid w:val="00BD18A6"/>
    <w:rsid w:val="00BD5C66"/>
    <w:rsid w:val="00FD40DD"/>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293C0B"/>
  <w15:docId w15:val="{C4108BE8-503C-8D4D-BA0D-C92A30902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id"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11"/>
      <w:outlineLvl w:val="0"/>
    </w:pPr>
    <w:rPr>
      <w:rFonts w:ascii="Arial" w:eastAsia="Arial" w:hAnsi="Arial" w:cs="Arial"/>
      <w:sz w:val="28"/>
      <w:szCs w:val="28"/>
    </w:rPr>
  </w:style>
  <w:style w:type="paragraph" w:styleId="Heading2">
    <w:name w:val="heading 2"/>
    <w:basedOn w:val="Normal"/>
    <w:next w:val="Normal"/>
    <w:uiPriority w:val="9"/>
    <w:unhideWhenUsed/>
    <w:qFormat/>
    <w:pPr>
      <w:spacing w:before="69"/>
      <w:ind w:left="915" w:hanging="360"/>
      <w:outlineLvl w:val="1"/>
    </w:pPr>
    <w:rPr>
      <w:b/>
      <w:bCs/>
    </w:rPr>
  </w:style>
  <w:style w:type="paragraph" w:styleId="Heading3">
    <w:name w:val="heading 3"/>
    <w:basedOn w:val="Normal"/>
    <w:next w:val="Normal"/>
    <w:uiPriority w:val="9"/>
    <w:unhideWhenUsed/>
    <w:qFormat/>
    <w:pPr>
      <w:keepNext/>
      <w:widowControl/>
      <w:spacing w:before="240" w:after="60" w:line="276" w:lineRule="auto"/>
      <w:outlineLvl w:val="2"/>
    </w:pPr>
    <w:rPr>
      <w:rFonts w:ascii="Cambria" w:eastAsia="Cambria" w:hAnsi="Cambria" w:cs="Cambria"/>
      <w:b/>
      <w:bCs/>
      <w:sz w:val="26"/>
      <w:szCs w:val="26"/>
    </w:rPr>
  </w:style>
  <w:style w:type="paragraph" w:styleId="Heading4">
    <w:name w:val="heading 4"/>
    <w:basedOn w:val="Normal"/>
    <w:next w:val="Normal"/>
    <w:uiPriority w:val="9"/>
    <w:semiHidden/>
    <w:unhideWhenUsed/>
    <w:qFormat/>
    <w:pPr>
      <w:keepNext/>
      <w:keepLines/>
      <w:widowControl/>
      <w:spacing w:before="200" w:line="276" w:lineRule="auto"/>
      <w:outlineLvl w:val="3"/>
    </w:pPr>
    <w:rPr>
      <w:rFonts w:ascii="Cambria" w:eastAsia="Cambria" w:hAnsi="Cambria" w:cs="Cambria"/>
      <w:b/>
      <w:bCs/>
      <w:i/>
      <w:iCs/>
      <w:color w:val="4F81BD"/>
      <w:sz w:val="22"/>
      <w:szCs w:val="22"/>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Heading1Char">
    <w:name w:val="Heading 1 Char"/>
    <w:rPr>
      <w:rFonts w:ascii="Cambria" w:eastAsia="Times New Roman" w:hAnsi="Cambria" w:cs="Times New Roman"/>
      <w:b/>
      <w:bCs/>
      <w:w w:val="100"/>
      <w:kern w:val="32"/>
      <w:position w:val="-1"/>
      <w:sz w:val="32"/>
      <w:szCs w:val="32"/>
      <w:effect w:val="none"/>
      <w:vertAlign w:val="baseline"/>
      <w:cs w:val="0"/>
      <w:em w:val="none"/>
    </w:rPr>
  </w:style>
  <w:style w:type="character" w:customStyle="1" w:styleId="Heading2Char">
    <w:name w:val="Heading 2 Char"/>
    <w:rPr>
      <w:rFonts w:ascii="Cambria" w:eastAsia="Times New Roman" w:hAnsi="Cambria" w:cs="Times New Roman"/>
      <w:b/>
      <w:bCs/>
      <w:i/>
      <w:iCs/>
      <w:w w:val="100"/>
      <w:position w:val="-1"/>
      <w:sz w:val="28"/>
      <w:szCs w:val="28"/>
      <w:effect w:val="none"/>
      <w:vertAlign w:val="baseline"/>
      <w:cs w:val="0"/>
      <w:em w:val="none"/>
    </w:rPr>
  </w:style>
  <w:style w:type="paragraph" w:styleId="BodyText">
    <w:name w:val="Body Text"/>
    <w:basedOn w:val="Normal"/>
    <w:pPr>
      <w:suppressAutoHyphens/>
      <w:spacing w:before="6" w:line="1" w:lineRule="atLeast"/>
      <w:ind w:leftChars="-1" w:left="1275" w:hangingChars="1" w:hanging="1"/>
      <w:textDirection w:val="btLr"/>
      <w:textAlignment w:val="top"/>
      <w:outlineLvl w:val="0"/>
    </w:pPr>
    <w:rPr>
      <w:kern w:val="24"/>
      <w:position w:val="-1"/>
      <w:lang w:val="en-US"/>
    </w:rPr>
  </w:style>
  <w:style w:type="character" w:customStyle="1" w:styleId="BodyTextChar">
    <w:name w:val="Body Text Char"/>
    <w:rPr>
      <w:w w:val="100"/>
      <w:position w:val="-1"/>
      <w:effect w:val="none"/>
      <w:vertAlign w:val="baseline"/>
      <w:cs w:val="0"/>
      <w:em w:val="none"/>
    </w:rPr>
  </w:style>
  <w:style w:type="paragraph" w:styleId="ListParagraph">
    <w:name w:val="List Paragraph"/>
    <w:basedOn w:val="Normal"/>
    <w:pPr>
      <w:suppressAutoHyphens/>
      <w:spacing w:line="1" w:lineRule="atLeast"/>
      <w:ind w:leftChars="-1" w:left="-1" w:hangingChars="1" w:hanging="1"/>
      <w:textDirection w:val="btLr"/>
      <w:textAlignment w:val="top"/>
      <w:outlineLvl w:val="0"/>
    </w:pPr>
    <w:rPr>
      <w:kern w:val="24"/>
      <w:position w:val="-1"/>
      <w:lang w:val="en-US"/>
    </w:rPr>
  </w:style>
  <w:style w:type="paragraph" w:customStyle="1" w:styleId="TableParagraph">
    <w:name w:val="Table Paragraph"/>
    <w:basedOn w:val="Normal"/>
    <w:pPr>
      <w:suppressAutoHyphens/>
      <w:spacing w:line="1" w:lineRule="atLeast"/>
      <w:ind w:leftChars="-1" w:left="-1" w:hangingChars="1" w:hanging="1"/>
      <w:textDirection w:val="btLr"/>
      <w:textAlignment w:val="top"/>
      <w:outlineLvl w:val="0"/>
    </w:pPr>
    <w:rPr>
      <w:kern w:val="24"/>
      <w:position w:val="-1"/>
      <w:lang w:val="en-US"/>
    </w:rPr>
  </w:style>
  <w:style w:type="character" w:styleId="Hyperlink">
    <w:name w:val="Hyperlink"/>
    <w:qFormat/>
    <w:rPr>
      <w:color w:val="0000FF"/>
      <w:w w:val="100"/>
      <w:position w:val="-1"/>
      <w:u w:val="single"/>
      <w:effect w:val="none"/>
      <w:vertAlign w:val="baseline"/>
      <w:cs w:val="0"/>
      <w:em w:val="none"/>
    </w:rPr>
  </w:style>
  <w:style w:type="paragraph" w:styleId="FootnoteText">
    <w:name w:val="footnote text"/>
    <w:basedOn w:val="Normal"/>
    <w:qFormat/>
    <w:pPr>
      <w:suppressAutoHyphens/>
      <w:spacing w:line="1" w:lineRule="atLeast"/>
      <w:ind w:leftChars="-1" w:left="-1" w:hangingChars="1" w:hanging="1"/>
      <w:textDirection w:val="btLr"/>
      <w:textAlignment w:val="top"/>
      <w:outlineLvl w:val="0"/>
    </w:pPr>
    <w:rPr>
      <w:kern w:val="24"/>
      <w:position w:val="-1"/>
      <w:sz w:val="20"/>
      <w:szCs w:val="20"/>
      <w:lang w:val="en-US"/>
    </w:rPr>
  </w:style>
  <w:style w:type="character" w:customStyle="1" w:styleId="FootnoteTextChar">
    <w:name w:val="Footnote Text Char"/>
    <w:rPr>
      <w:w w:val="100"/>
      <w:position w:val="-1"/>
      <w:sz w:val="20"/>
      <w:szCs w:val="20"/>
      <w:effect w:val="none"/>
      <w:vertAlign w:val="baseline"/>
      <w:cs w:val="0"/>
      <w:em w:val="none"/>
    </w:rPr>
  </w:style>
  <w:style w:type="character" w:styleId="FootnoteReference">
    <w:name w:val="footnote reference"/>
    <w:qFormat/>
    <w:rPr>
      <w:w w:val="100"/>
      <w:position w:val="-1"/>
      <w:effect w:val="none"/>
      <w:vertAlign w:val="superscript"/>
      <w:cs w:val="0"/>
      <w:em w:val="none"/>
    </w:rPr>
  </w:style>
  <w:style w:type="paragraph" w:styleId="Header">
    <w:name w:val="header"/>
    <w:basedOn w:val="Normal"/>
    <w:qFormat/>
    <w:pPr>
      <w:tabs>
        <w:tab w:val="center" w:pos="4513"/>
        <w:tab w:val="right" w:pos="9026"/>
      </w:tabs>
      <w:suppressAutoHyphens/>
      <w:spacing w:line="1" w:lineRule="atLeast"/>
      <w:ind w:leftChars="-1" w:left="-1" w:hangingChars="1" w:hanging="1"/>
      <w:textDirection w:val="btLr"/>
      <w:textAlignment w:val="top"/>
      <w:outlineLvl w:val="0"/>
    </w:pPr>
    <w:rPr>
      <w:kern w:val="24"/>
      <w:position w:val="-1"/>
      <w:lang w:val="en-US"/>
    </w:rPr>
  </w:style>
  <w:style w:type="character" w:customStyle="1" w:styleId="HeaderChar">
    <w:name w:val="Header Char"/>
    <w:rPr>
      <w:w w:val="100"/>
      <w:position w:val="-1"/>
      <w:effect w:val="none"/>
      <w:vertAlign w:val="baseline"/>
      <w:cs w:val="0"/>
      <w:em w:val="none"/>
    </w:rPr>
  </w:style>
  <w:style w:type="paragraph" w:styleId="Footer">
    <w:name w:val="footer"/>
    <w:basedOn w:val="Normal"/>
    <w:uiPriority w:val="99"/>
    <w:qFormat/>
    <w:pPr>
      <w:tabs>
        <w:tab w:val="center" w:pos="4513"/>
        <w:tab w:val="right" w:pos="9026"/>
      </w:tabs>
      <w:suppressAutoHyphens/>
      <w:spacing w:line="1" w:lineRule="atLeast"/>
      <w:ind w:leftChars="-1" w:left="-1" w:hangingChars="1" w:hanging="1"/>
      <w:textDirection w:val="btLr"/>
      <w:textAlignment w:val="top"/>
      <w:outlineLvl w:val="0"/>
    </w:pPr>
    <w:rPr>
      <w:kern w:val="24"/>
      <w:position w:val="-1"/>
      <w:lang w:val="en-US"/>
    </w:rPr>
  </w:style>
  <w:style w:type="character" w:customStyle="1" w:styleId="FooterChar">
    <w:name w:val="Footer Char"/>
    <w:uiPriority w:val="99"/>
    <w:rPr>
      <w:w w:val="100"/>
      <w:position w:val="-1"/>
      <w:effect w:val="none"/>
      <w:vertAlign w:val="baseline"/>
      <w:cs w:val="0"/>
      <w:em w:val="none"/>
    </w:rPr>
  </w:style>
  <w:style w:type="paragraph" w:styleId="Revision">
    <w:name w:val="Revision"/>
    <w:pPr>
      <w:suppressAutoHyphens/>
      <w:spacing w:line="1" w:lineRule="atLeast"/>
      <w:ind w:leftChars="-1" w:left="-1" w:hangingChars="1" w:hanging="1"/>
      <w:textDirection w:val="btLr"/>
      <w:textAlignment w:val="top"/>
      <w:outlineLvl w:val="0"/>
    </w:pPr>
    <w:rPr>
      <w:kern w:val="24"/>
      <w:position w:val="-1"/>
      <w:lang w:val="en-US"/>
    </w:rPr>
  </w:style>
  <w:style w:type="paragraph" w:styleId="BalloonText">
    <w:name w:val="Balloon Text"/>
    <w:basedOn w:val="Normal"/>
    <w:qFormat/>
    <w:pPr>
      <w:suppressAutoHyphens/>
      <w:spacing w:line="1" w:lineRule="atLeast"/>
      <w:ind w:leftChars="-1" w:left="-1" w:hangingChars="1" w:hanging="1"/>
      <w:textDirection w:val="btLr"/>
      <w:textAlignment w:val="top"/>
      <w:outlineLvl w:val="0"/>
    </w:pPr>
    <w:rPr>
      <w:rFonts w:ascii="Tahoma" w:hAnsi="Tahoma" w:cs="Tahoma"/>
      <w:kern w:val="24"/>
      <w:position w:val="-1"/>
      <w:sz w:val="16"/>
      <w:szCs w:val="16"/>
      <w:lang w:val="en-US"/>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character" w:customStyle="1" w:styleId="Heading3Char">
    <w:name w:val="Heading 3 Char"/>
    <w:rPr>
      <w:rFonts w:ascii="Cambria" w:hAnsi="Cambria"/>
      <w:b/>
      <w:bCs/>
      <w:w w:val="100"/>
      <w:position w:val="-1"/>
      <w:sz w:val="26"/>
      <w:szCs w:val="26"/>
      <w:effect w:val="none"/>
      <w:vertAlign w:val="baseline"/>
      <w:cs w:val="0"/>
      <w:em w:val="none"/>
      <w:lang w:val="en-US" w:eastAsia="en-US"/>
    </w:rPr>
  </w:style>
  <w:style w:type="character" w:customStyle="1" w:styleId="Heading4Char">
    <w:name w:val="Heading 4 Char"/>
    <w:rPr>
      <w:rFonts w:ascii="Cambria" w:hAnsi="Cambria"/>
      <w:b/>
      <w:bCs/>
      <w:i/>
      <w:iCs/>
      <w:color w:val="4F81BD"/>
      <w:w w:val="100"/>
      <w:position w:val="-1"/>
      <w:sz w:val="22"/>
      <w:szCs w:val="22"/>
      <w:effect w:val="none"/>
      <w:vertAlign w:val="baseline"/>
      <w:cs w:val="0"/>
      <w:em w:val="none"/>
      <w:lang w:val="en-US" w:eastAsia="en-US"/>
    </w:rPr>
  </w:style>
  <w:style w:type="paragraph" w:styleId="NoSpacing">
    <w:name w:val="No Spacing"/>
    <w:pPr>
      <w:suppressAutoHyphens/>
      <w:spacing w:line="360" w:lineRule="auto"/>
      <w:ind w:leftChars="-1" w:left="-1" w:hangingChars="1" w:hanging="1"/>
      <w:jc w:val="both"/>
      <w:textDirection w:val="btLr"/>
      <w:textAlignment w:val="top"/>
      <w:outlineLvl w:val="0"/>
    </w:pPr>
    <w:rPr>
      <w:rFonts w:ascii="Calibri" w:eastAsia="Calibri" w:hAnsi="Calibri"/>
      <w:position w:val="-1"/>
      <w:sz w:val="22"/>
      <w:szCs w:val="22"/>
      <w:lang w:val="en-US"/>
    </w:rPr>
  </w:style>
  <w:style w:type="character" w:customStyle="1" w:styleId="apple-converted-space">
    <w:name w:val="apple-converted-space"/>
    <w:rPr>
      <w:w w:val="100"/>
      <w:position w:val="-1"/>
      <w:effect w:val="none"/>
      <w:vertAlign w:val="baseline"/>
      <w:cs w:val="0"/>
      <w:em w:val="none"/>
    </w:rPr>
  </w:style>
  <w:style w:type="character" w:customStyle="1" w:styleId="hps">
    <w:name w:val="hps"/>
    <w:rPr>
      <w:w w:val="100"/>
      <w:position w:val="-1"/>
      <w:effect w:val="none"/>
      <w:vertAlign w:val="baseline"/>
      <w:cs w:val="0"/>
      <w:em w:val="none"/>
    </w:rPr>
  </w:style>
  <w:style w:type="character" w:customStyle="1" w:styleId="NoSpacingChar">
    <w:name w:val="No Spacing Char"/>
    <w:rPr>
      <w:rFonts w:ascii="Calibri" w:eastAsia="Calibri" w:hAnsi="Calibri"/>
      <w:w w:val="100"/>
      <w:position w:val="-1"/>
      <w:sz w:val="22"/>
      <w:szCs w:val="22"/>
      <w:effect w:val="none"/>
      <w:vertAlign w:val="baseline"/>
      <w:cs w:val="0"/>
      <w:em w:val="none"/>
      <w:lang w:val="en-US" w:eastAsia="en-US"/>
    </w:rPr>
  </w:style>
  <w:style w:type="character" w:styleId="Emphasis">
    <w:name w:val="Emphasis"/>
    <w:uiPriority w:val="20"/>
    <w:qFormat/>
    <w:rPr>
      <w:i/>
      <w:iCs/>
      <w:w w:val="100"/>
      <w:position w:val="-1"/>
      <w:effect w:val="none"/>
      <w:vertAlign w:val="baseline"/>
      <w:cs w:val="0"/>
      <w:em w:val="none"/>
    </w:rPr>
  </w:style>
  <w:style w:type="character" w:customStyle="1" w:styleId="ListParagraphChar">
    <w:name w:val="List Paragraph Char"/>
    <w:rPr>
      <w:w w:val="100"/>
      <w:kern w:val="24"/>
      <w:position w:val="-1"/>
      <w:sz w:val="24"/>
      <w:szCs w:val="24"/>
      <w:effect w:val="none"/>
      <w:vertAlign w:val="baseline"/>
      <w:cs w:val="0"/>
      <w:em w:val="none"/>
      <w:lang w:val="en-US" w:eastAsia="en-US"/>
    </w:rPr>
  </w:style>
  <w:style w:type="table" w:styleId="TableGrid">
    <w:name w:val="Table Grid"/>
    <w:basedOn w:val="TableNormal"/>
    <w:pPr>
      <w:suppressAutoHyphens/>
      <w:spacing w:line="1" w:lineRule="atLeast"/>
      <w:ind w:leftChars="-1" w:left="-1" w:hangingChars="1" w:hanging="1"/>
      <w:textDirection w:val="btLr"/>
      <w:textAlignment w:val="top"/>
      <w:outlineLvl w:val="0"/>
    </w:pPr>
    <w:rPr>
      <w:rFonts w:ascii="Calibri" w:eastAsia="Calibri" w:hAnsi="Calibri"/>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pPr>
      <w:suppressAutoHyphens/>
      <w:spacing w:line="1" w:lineRule="atLeast"/>
      <w:ind w:leftChars="-1" w:left="-1" w:hangingChars="1" w:hanging="1"/>
      <w:textDirection w:val="btLr"/>
      <w:textAlignment w:val="top"/>
      <w:outlineLvl w:val="0"/>
    </w:pPr>
    <w:rPr>
      <w:rFonts w:ascii="Calibri" w:eastAsia="Calibri" w:hAnsi="Calibri"/>
      <w:color w:val="000000"/>
      <w:position w:val="-1"/>
    </w:rPr>
    <w:tblPr>
      <w:tblStyleRowBandSize w:val="1"/>
      <w:tblStyleColBandSize w:val="1"/>
      <w:tblBorders>
        <w:top w:val="single" w:sz="8" w:space="0" w:color="000000"/>
        <w:bottom w:val="single" w:sz="8" w:space="0" w:color="000000"/>
      </w:tblBorders>
    </w:tblPr>
  </w:style>
  <w:style w:type="table" w:styleId="LightShading-Accent1">
    <w:name w:val="Light Shading Accent 1"/>
    <w:basedOn w:val="TableNormal"/>
    <w:pPr>
      <w:suppressAutoHyphens/>
      <w:spacing w:line="1" w:lineRule="atLeast"/>
      <w:ind w:leftChars="-1" w:left="-1" w:hangingChars="1" w:hanging="1"/>
      <w:textDirection w:val="btLr"/>
      <w:textAlignment w:val="top"/>
      <w:outlineLvl w:val="0"/>
    </w:pPr>
    <w:rPr>
      <w:rFonts w:ascii="Calibri" w:eastAsia="Calibri" w:hAnsi="Calibri"/>
      <w:color w:val="365F91"/>
      <w:position w:val="-1"/>
    </w:rPr>
    <w:tblPr>
      <w:tblStyleRowBandSize w:val="1"/>
      <w:tblStyleColBandSize w:val="1"/>
      <w:tblBorders>
        <w:top w:val="single" w:sz="8" w:space="0" w:color="4F81BD"/>
        <w:bottom w:val="single" w:sz="8" w:space="0" w:color="4F81BD"/>
      </w:tblBorders>
    </w:tblPr>
  </w:style>
  <w:style w:type="table" w:styleId="LightShading-Accent2">
    <w:name w:val="Light Shading Accent 2"/>
    <w:basedOn w:val="TableNormal"/>
    <w:pPr>
      <w:suppressAutoHyphens/>
      <w:spacing w:line="1" w:lineRule="atLeast"/>
      <w:ind w:leftChars="-1" w:left="-1" w:hangingChars="1" w:hanging="1"/>
      <w:textDirection w:val="btLr"/>
      <w:textAlignment w:val="top"/>
      <w:outlineLvl w:val="0"/>
    </w:pPr>
    <w:rPr>
      <w:rFonts w:ascii="Calibri" w:eastAsia="Calibri" w:hAnsi="Calibri"/>
      <w:color w:val="943634"/>
      <w:position w:val="-1"/>
    </w:rPr>
    <w:tblPr>
      <w:tblStyleRowBandSize w:val="1"/>
      <w:tblStyleColBandSize w:val="1"/>
      <w:tblBorders>
        <w:top w:val="single" w:sz="8" w:space="0" w:color="C0504D"/>
        <w:bottom w:val="single" w:sz="8" w:space="0" w:color="C0504D"/>
      </w:tblBorders>
    </w:tblPr>
  </w:style>
  <w:style w:type="table" w:styleId="LightShading-Accent3">
    <w:name w:val="Light Shading Accent 3"/>
    <w:basedOn w:val="TableNormal"/>
    <w:pPr>
      <w:suppressAutoHyphens/>
      <w:spacing w:line="1" w:lineRule="atLeast"/>
      <w:ind w:leftChars="-1" w:left="-1" w:hangingChars="1" w:hanging="1"/>
      <w:textDirection w:val="btLr"/>
      <w:textAlignment w:val="top"/>
      <w:outlineLvl w:val="0"/>
    </w:pPr>
    <w:rPr>
      <w:rFonts w:ascii="Calibri" w:eastAsia="Calibri" w:hAnsi="Calibri"/>
      <w:color w:val="76923C"/>
      <w:position w:val="-1"/>
    </w:rPr>
    <w:tblPr>
      <w:tblStyleRowBandSize w:val="1"/>
      <w:tblStyleColBandSize w:val="1"/>
      <w:tblBorders>
        <w:top w:val="single" w:sz="8" w:space="0" w:color="9BBB59"/>
        <w:bottom w:val="single" w:sz="8" w:space="0" w:color="9BBB59"/>
      </w:tblBorders>
    </w:tblPr>
  </w:style>
  <w:style w:type="table" w:styleId="LightShading-Accent4">
    <w:name w:val="Light Shading Accent 4"/>
    <w:basedOn w:val="TableNormal"/>
    <w:pPr>
      <w:suppressAutoHyphens/>
      <w:spacing w:line="1" w:lineRule="atLeast"/>
      <w:ind w:leftChars="-1" w:left="-1" w:hangingChars="1" w:hanging="1"/>
      <w:textDirection w:val="btLr"/>
      <w:textAlignment w:val="top"/>
      <w:outlineLvl w:val="0"/>
    </w:pPr>
    <w:rPr>
      <w:rFonts w:ascii="Calibri" w:eastAsia="Calibri" w:hAnsi="Calibri"/>
      <w:color w:val="5F497A"/>
      <w:position w:val="-1"/>
    </w:rPr>
    <w:tblPr>
      <w:tblStyleRowBandSize w:val="1"/>
      <w:tblStyleColBandSize w:val="1"/>
      <w:tblBorders>
        <w:top w:val="single" w:sz="8" w:space="0" w:color="8064A2"/>
        <w:bottom w:val="single" w:sz="8" w:space="0" w:color="8064A2"/>
      </w:tblBorders>
    </w:tblPr>
  </w:style>
  <w:style w:type="table" w:styleId="MediumList1-Accent1">
    <w:name w:val="Medium List 1 Accent 1"/>
    <w:basedOn w:val="TableNormal"/>
    <w:pPr>
      <w:suppressAutoHyphens/>
      <w:spacing w:line="1" w:lineRule="atLeast"/>
      <w:ind w:leftChars="-1" w:left="-1" w:hangingChars="1" w:hanging="1"/>
      <w:textDirection w:val="btLr"/>
      <w:textAlignment w:val="top"/>
      <w:outlineLvl w:val="0"/>
    </w:pPr>
    <w:rPr>
      <w:rFonts w:ascii="Calibri" w:eastAsia="Calibri" w:hAnsi="Calibri"/>
      <w:color w:val="000000"/>
      <w:position w:val="-1"/>
    </w:rPr>
    <w:tblPr>
      <w:tblStyleRowBandSize w:val="1"/>
      <w:tblStyleColBandSize w:val="1"/>
      <w:tblBorders>
        <w:top w:val="single" w:sz="8" w:space="0" w:color="4F81BD"/>
        <w:bottom w:val="single" w:sz="8" w:space="0" w:color="4F81BD"/>
      </w:tblBorders>
    </w:tblPr>
  </w:style>
  <w:style w:type="character" w:styleId="FollowedHyperlink">
    <w:name w:val="FollowedHyperlink"/>
    <w:qFormat/>
    <w:rPr>
      <w:color w:val="800080"/>
      <w:w w:val="100"/>
      <w:position w:val="-1"/>
      <w:u w:val="single"/>
      <w:effect w:val="none"/>
      <w:vertAlign w:val="baseline"/>
      <w:cs w:val="0"/>
      <w:em w:val="none"/>
    </w:rPr>
  </w:style>
  <w:style w:type="character" w:styleId="CommentReference">
    <w:name w:val="annotation reference"/>
    <w:qFormat/>
    <w:rPr>
      <w:w w:val="100"/>
      <w:position w:val="-1"/>
      <w:sz w:val="16"/>
      <w:szCs w:val="16"/>
      <w:effect w:val="none"/>
      <w:vertAlign w:val="baseline"/>
      <w:cs w:val="0"/>
      <w:em w:val="none"/>
    </w:rPr>
  </w:style>
  <w:style w:type="paragraph" w:styleId="CommentText">
    <w:name w:val="annotation text"/>
    <w:basedOn w:val="Normal"/>
    <w:qFormat/>
    <w:pPr>
      <w:widowControl/>
      <w:suppressAutoHyphens/>
      <w:spacing w:after="200" w:line="276" w:lineRule="auto"/>
      <w:ind w:leftChars="-1" w:left="-1" w:hangingChars="1" w:hanging="1"/>
      <w:textDirection w:val="btLr"/>
      <w:textAlignment w:val="top"/>
      <w:outlineLvl w:val="0"/>
    </w:pPr>
    <w:rPr>
      <w:rFonts w:ascii="Calibri" w:eastAsia="Calibri" w:hAnsi="Calibri"/>
      <w:position w:val="-1"/>
      <w:sz w:val="20"/>
      <w:szCs w:val="20"/>
      <w:lang w:val="id-ID"/>
    </w:rPr>
  </w:style>
  <w:style w:type="character" w:customStyle="1" w:styleId="CommentTextChar">
    <w:name w:val="Comment Text Char"/>
    <w:rPr>
      <w:rFonts w:ascii="Calibri" w:eastAsia="Calibri" w:hAnsi="Calibri"/>
      <w:w w:val="100"/>
      <w:position w:val="-1"/>
      <w:effect w:val="none"/>
      <w:vertAlign w:val="baseline"/>
      <w:cs w:val="0"/>
      <w:em w:val="none"/>
    </w:rPr>
  </w:style>
  <w:style w:type="paragraph" w:styleId="CommentSubject">
    <w:name w:val="annotation subject"/>
    <w:basedOn w:val="CommentText"/>
    <w:next w:val="CommentText"/>
    <w:qFormat/>
    <w:rPr>
      <w:b/>
      <w:bCs/>
    </w:rPr>
  </w:style>
  <w:style w:type="character" w:customStyle="1" w:styleId="CommentSubjectChar">
    <w:name w:val="Comment Subject Char"/>
    <w:rPr>
      <w:rFonts w:ascii="Calibri" w:eastAsia="Calibri" w:hAnsi="Calibri"/>
      <w:b/>
      <w:bCs/>
      <w:w w:val="100"/>
      <w:position w:val="-1"/>
      <w:effect w:val="none"/>
      <w:vertAlign w:val="baseline"/>
      <w:cs w:val="0"/>
      <w:em w:val="none"/>
    </w:rPr>
  </w:style>
  <w:style w:type="paragraph" w:styleId="HTMLPreformatted">
    <w:name w:val="HTML Preformatted"/>
    <w:basedOn w:val="Normal"/>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1" w:lineRule="atLeast"/>
      <w:ind w:leftChars="-1" w:left="-1" w:hangingChars="1" w:hanging="1"/>
      <w:textDirection w:val="btLr"/>
      <w:textAlignment w:val="top"/>
      <w:outlineLvl w:val="0"/>
    </w:pPr>
    <w:rPr>
      <w:rFonts w:ascii="Courier New" w:hAnsi="Courier New"/>
      <w:position w:val="-1"/>
      <w:sz w:val="20"/>
      <w:szCs w:val="20"/>
      <w:lang w:val="en-US"/>
    </w:rPr>
  </w:style>
  <w:style w:type="character" w:customStyle="1" w:styleId="HTMLPreformattedChar">
    <w:name w:val="HTML Preformatted Char"/>
    <w:rPr>
      <w:rFonts w:ascii="Courier New" w:hAnsi="Courier New"/>
      <w:w w:val="100"/>
      <w:position w:val="-1"/>
      <w:effect w:val="none"/>
      <w:vertAlign w:val="baseline"/>
      <w:cs w:val="0"/>
      <w:em w:val="none"/>
      <w:lang w:val="en-US" w:eastAsia="en-US"/>
    </w:rPr>
  </w:style>
  <w:style w:type="paragraph" w:styleId="BodyText2">
    <w:name w:val="Body Text 2"/>
    <w:basedOn w:val="Normal"/>
    <w:qFormat/>
    <w:pPr>
      <w:widowControl/>
      <w:suppressAutoHyphens/>
      <w:autoSpaceDE w:val="0"/>
      <w:autoSpaceDN w:val="0"/>
      <w:spacing w:line="360" w:lineRule="auto"/>
      <w:ind w:leftChars="-1" w:left="-1" w:hangingChars="1" w:hanging="1"/>
      <w:textDirection w:val="btLr"/>
      <w:textAlignment w:val="top"/>
      <w:outlineLvl w:val="0"/>
    </w:pPr>
    <w:rPr>
      <w:rFonts w:ascii="Arial Narrow" w:hAnsi="Arial Narrow"/>
      <w:b/>
      <w:bCs/>
      <w:position w:val="-1"/>
      <w:lang w:val="en-US"/>
    </w:rPr>
  </w:style>
  <w:style w:type="character" w:customStyle="1" w:styleId="BodyText2Char">
    <w:name w:val="Body Text 2 Char"/>
    <w:rPr>
      <w:rFonts w:ascii="Arial Narrow" w:hAnsi="Arial Narrow"/>
      <w:b/>
      <w:bCs/>
      <w:w w:val="100"/>
      <w:position w:val="-1"/>
      <w:sz w:val="24"/>
      <w:szCs w:val="24"/>
      <w:effect w:val="none"/>
      <w:vertAlign w:val="baseline"/>
      <w:cs w:val="0"/>
      <w:em w:val="none"/>
      <w:lang w:val="en-US" w:eastAsia="en-US"/>
    </w:rPr>
  </w:style>
  <w:style w:type="paragraph" w:customStyle="1" w:styleId="HEPIREFERENCES">
    <w:name w:val="HEPI_REFERENCES"/>
    <w:basedOn w:val="Normal"/>
    <w:pPr>
      <w:widowControl/>
      <w:suppressAutoHyphens/>
      <w:spacing w:after="120" w:line="1" w:lineRule="atLeast"/>
      <w:ind w:leftChars="-1" w:left="567" w:hangingChars="1" w:hanging="567"/>
      <w:jc w:val="both"/>
      <w:textDirection w:val="btLr"/>
      <w:textAlignment w:val="top"/>
      <w:outlineLvl w:val="0"/>
    </w:pPr>
    <w:rPr>
      <w:rFonts w:ascii="Garamond" w:eastAsia="Calibri" w:hAnsi="Garamond"/>
      <w:position w:val="-1"/>
      <w:szCs w:val="22"/>
      <w:lang w:val="id-ID"/>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color w:val="000000"/>
      <w:position w:val="-1"/>
      <w:lang w:val="en-US"/>
    </w:rPr>
  </w:style>
  <w:style w:type="character" w:customStyle="1" w:styleId="st">
    <w:name w:val="st"/>
    <w:rPr>
      <w:w w:val="100"/>
      <w:position w:val="-1"/>
      <w:effect w:val="none"/>
      <w:vertAlign w:val="baseline"/>
      <w:cs w:val="0"/>
      <w:em w:val="none"/>
    </w:rPr>
  </w:style>
  <w:style w:type="character" w:customStyle="1" w:styleId="atn">
    <w:name w:val="atn"/>
    <w:rPr>
      <w:w w:val="100"/>
      <w:position w:val="-1"/>
      <w:effect w:val="none"/>
      <w:vertAlign w:val="baseline"/>
      <w:cs w:val="0"/>
      <w:em w:val="none"/>
    </w:rPr>
  </w:style>
  <w:style w:type="character" w:customStyle="1" w:styleId="apple-style-span">
    <w:name w:val="apple-style-span"/>
    <w:rPr>
      <w:rFonts w:ascii="Times New Roman" w:hAnsi="Times New Roman" w:cs="Times New Roman" w:hint="default"/>
      <w:w w:val="100"/>
      <w:position w:val="-1"/>
      <w:effect w:val="none"/>
      <w:vertAlign w:val="baseline"/>
      <w:cs w:val="0"/>
      <w:em w:val="none"/>
    </w:rPr>
  </w:style>
  <w:style w:type="table" w:customStyle="1" w:styleId="LightShading1">
    <w:name w:val="Light Shading1"/>
    <w:basedOn w:val="TableNormal"/>
    <w:pPr>
      <w:suppressAutoHyphens/>
      <w:spacing w:line="1" w:lineRule="atLeast"/>
      <w:ind w:leftChars="-1" w:left="-1" w:hangingChars="1" w:hanging="1"/>
      <w:textDirection w:val="btLr"/>
      <w:textAlignment w:val="top"/>
      <w:outlineLvl w:val="0"/>
    </w:pPr>
    <w:rPr>
      <w:rFonts w:ascii="Calibri" w:eastAsia="Calibri" w:hAnsi="Calibri"/>
      <w:color w:val="000000"/>
      <w:position w:val="-1"/>
    </w:rPr>
    <w:tblPr>
      <w:tblStyleRowBandSize w:val="1"/>
      <w:tblStyleColBandSize w:val="1"/>
      <w:tblInd w:w="0" w:type="nil"/>
      <w:tblBorders>
        <w:top w:val="single" w:sz="8" w:space="0" w:color="000000"/>
        <w:bottom w:val="single" w:sz="8" w:space="0" w:color="000000"/>
      </w:tblBorders>
    </w:tblPr>
  </w:style>
  <w:style w:type="paragraph" w:styleId="EndnoteText">
    <w:name w:val="endnote text"/>
    <w:basedOn w:val="Normal"/>
    <w:qFormat/>
    <w:pPr>
      <w:widowControl/>
      <w:suppressAutoHyphens/>
      <w:spacing w:line="1" w:lineRule="atLeast"/>
      <w:ind w:leftChars="-1" w:left="-1" w:hangingChars="1" w:hanging="1"/>
      <w:textDirection w:val="btLr"/>
      <w:textAlignment w:val="top"/>
      <w:outlineLvl w:val="0"/>
    </w:pPr>
    <w:rPr>
      <w:rFonts w:ascii="Calibri" w:eastAsia="Calibri" w:hAnsi="Calibri" w:cs="Arial"/>
      <w:position w:val="-1"/>
      <w:sz w:val="20"/>
      <w:szCs w:val="20"/>
      <w:lang w:val="en-US"/>
    </w:rPr>
  </w:style>
  <w:style w:type="character" w:customStyle="1" w:styleId="EndnoteTextChar">
    <w:name w:val="Endnote Text Char"/>
    <w:rPr>
      <w:rFonts w:ascii="Calibri" w:eastAsia="Calibri" w:hAnsi="Calibri" w:cs="Arial"/>
      <w:w w:val="100"/>
      <w:position w:val="-1"/>
      <w:effect w:val="none"/>
      <w:vertAlign w:val="baseline"/>
      <w:cs w:val="0"/>
      <w:em w:val="none"/>
      <w:lang w:val="en-US"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UnresolvedMention">
    <w:name w:val="Unresolved Mention"/>
    <w:basedOn w:val="DefaultParagraphFont"/>
    <w:uiPriority w:val="99"/>
    <w:semiHidden/>
    <w:unhideWhenUsed/>
    <w:rsid w:val="00BD5C66"/>
    <w:rPr>
      <w:color w:val="605E5C"/>
      <w:shd w:val="clear" w:color="auto" w:fill="E1DFDD"/>
    </w:rPr>
  </w:style>
  <w:style w:type="paragraph" w:styleId="NormalWeb">
    <w:name w:val="Normal (Web)"/>
    <w:basedOn w:val="Normal"/>
    <w:uiPriority w:val="99"/>
    <w:semiHidden/>
    <w:unhideWhenUsed/>
    <w:rsid w:val="00BD5C66"/>
    <w:pPr>
      <w:widowControl/>
      <w:spacing w:before="100" w:beforeAutospacing="1" w:after="100" w:afterAutospacing="1"/>
    </w:pPr>
    <w:rPr>
      <w:lang w:val="en-ID"/>
    </w:rPr>
  </w:style>
  <w:style w:type="character" w:styleId="Strong">
    <w:name w:val="Strong"/>
    <w:basedOn w:val="DefaultParagraphFont"/>
    <w:uiPriority w:val="22"/>
    <w:qFormat/>
    <w:rsid w:val="00200A6B"/>
    <w:rPr>
      <w:b/>
      <w:bCs/>
    </w:rPr>
  </w:style>
  <w:style w:type="character" w:styleId="PlaceholderText">
    <w:name w:val="Placeholder Text"/>
    <w:basedOn w:val="DefaultParagraphFont"/>
    <w:uiPriority w:val="99"/>
    <w:semiHidden/>
    <w:rsid w:val="007D162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3420">
      <w:bodyDiv w:val="1"/>
      <w:marLeft w:val="0"/>
      <w:marRight w:val="0"/>
      <w:marTop w:val="0"/>
      <w:marBottom w:val="0"/>
      <w:divBdr>
        <w:top w:val="none" w:sz="0" w:space="0" w:color="auto"/>
        <w:left w:val="none" w:sz="0" w:space="0" w:color="auto"/>
        <w:bottom w:val="none" w:sz="0" w:space="0" w:color="auto"/>
        <w:right w:val="none" w:sz="0" w:space="0" w:color="auto"/>
      </w:divBdr>
    </w:div>
    <w:div w:id="11536542">
      <w:bodyDiv w:val="1"/>
      <w:marLeft w:val="0"/>
      <w:marRight w:val="0"/>
      <w:marTop w:val="0"/>
      <w:marBottom w:val="0"/>
      <w:divBdr>
        <w:top w:val="none" w:sz="0" w:space="0" w:color="auto"/>
        <w:left w:val="none" w:sz="0" w:space="0" w:color="auto"/>
        <w:bottom w:val="none" w:sz="0" w:space="0" w:color="auto"/>
        <w:right w:val="none" w:sz="0" w:space="0" w:color="auto"/>
      </w:divBdr>
    </w:div>
    <w:div w:id="26760401">
      <w:bodyDiv w:val="1"/>
      <w:marLeft w:val="0"/>
      <w:marRight w:val="0"/>
      <w:marTop w:val="0"/>
      <w:marBottom w:val="0"/>
      <w:divBdr>
        <w:top w:val="none" w:sz="0" w:space="0" w:color="auto"/>
        <w:left w:val="none" w:sz="0" w:space="0" w:color="auto"/>
        <w:bottom w:val="none" w:sz="0" w:space="0" w:color="auto"/>
        <w:right w:val="none" w:sz="0" w:space="0" w:color="auto"/>
      </w:divBdr>
    </w:div>
    <w:div w:id="64378343">
      <w:bodyDiv w:val="1"/>
      <w:marLeft w:val="0"/>
      <w:marRight w:val="0"/>
      <w:marTop w:val="0"/>
      <w:marBottom w:val="0"/>
      <w:divBdr>
        <w:top w:val="none" w:sz="0" w:space="0" w:color="auto"/>
        <w:left w:val="none" w:sz="0" w:space="0" w:color="auto"/>
        <w:bottom w:val="none" w:sz="0" w:space="0" w:color="auto"/>
        <w:right w:val="none" w:sz="0" w:space="0" w:color="auto"/>
      </w:divBdr>
    </w:div>
    <w:div w:id="70156008">
      <w:bodyDiv w:val="1"/>
      <w:marLeft w:val="0"/>
      <w:marRight w:val="0"/>
      <w:marTop w:val="0"/>
      <w:marBottom w:val="0"/>
      <w:divBdr>
        <w:top w:val="none" w:sz="0" w:space="0" w:color="auto"/>
        <w:left w:val="none" w:sz="0" w:space="0" w:color="auto"/>
        <w:bottom w:val="none" w:sz="0" w:space="0" w:color="auto"/>
        <w:right w:val="none" w:sz="0" w:space="0" w:color="auto"/>
      </w:divBdr>
    </w:div>
    <w:div w:id="72514160">
      <w:bodyDiv w:val="1"/>
      <w:marLeft w:val="0"/>
      <w:marRight w:val="0"/>
      <w:marTop w:val="0"/>
      <w:marBottom w:val="0"/>
      <w:divBdr>
        <w:top w:val="none" w:sz="0" w:space="0" w:color="auto"/>
        <w:left w:val="none" w:sz="0" w:space="0" w:color="auto"/>
        <w:bottom w:val="none" w:sz="0" w:space="0" w:color="auto"/>
        <w:right w:val="none" w:sz="0" w:space="0" w:color="auto"/>
      </w:divBdr>
    </w:div>
    <w:div w:id="97524154">
      <w:bodyDiv w:val="1"/>
      <w:marLeft w:val="0"/>
      <w:marRight w:val="0"/>
      <w:marTop w:val="0"/>
      <w:marBottom w:val="0"/>
      <w:divBdr>
        <w:top w:val="none" w:sz="0" w:space="0" w:color="auto"/>
        <w:left w:val="none" w:sz="0" w:space="0" w:color="auto"/>
        <w:bottom w:val="none" w:sz="0" w:space="0" w:color="auto"/>
        <w:right w:val="none" w:sz="0" w:space="0" w:color="auto"/>
      </w:divBdr>
    </w:div>
    <w:div w:id="114569267">
      <w:bodyDiv w:val="1"/>
      <w:marLeft w:val="0"/>
      <w:marRight w:val="0"/>
      <w:marTop w:val="0"/>
      <w:marBottom w:val="0"/>
      <w:divBdr>
        <w:top w:val="none" w:sz="0" w:space="0" w:color="auto"/>
        <w:left w:val="none" w:sz="0" w:space="0" w:color="auto"/>
        <w:bottom w:val="none" w:sz="0" w:space="0" w:color="auto"/>
        <w:right w:val="none" w:sz="0" w:space="0" w:color="auto"/>
      </w:divBdr>
    </w:div>
    <w:div w:id="127018501">
      <w:bodyDiv w:val="1"/>
      <w:marLeft w:val="0"/>
      <w:marRight w:val="0"/>
      <w:marTop w:val="0"/>
      <w:marBottom w:val="0"/>
      <w:divBdr>
        <w:top w:val="none" w:sz="0" w:space="0" w:color="auto"/>
        <w:left w:val="none" w:sz="0" w:space="0" w:color="auto"/>
        <w:bottom w:val="none" w:sz="0" w:space="0" w:color="auto"/>
        <w:right w:val="none" w:sz="0" w:space="0" w:color="auto"/>
      </w:divBdr>
    </w:div>
    <w:div w:id="127402453">
      <w:bodyDiv w:val="1"/>
      <w:marLeft w:val="0"/>
      <w:marRight w:val="0"/>
      <w:marTop w:val="0"/>
      <w:marBottom w:val="0"/>
      <w:divBdr>
        <w:top w:val="none" w:sz="0" w:space="0" w:color="auto"/>
        <w:left w:val="none" w:sz="0" w:space="0" w:color="auto"/>
        <w:bottom w:val="none" w:sz="0" w:space="0" w:color="auto"/>
        <w:right w:val="none" w:sz="0" w:space="0" w:color="auto"/>
      </w:divBdr>
    </w:div>
    <w:div w:id="151483435">
      <w:bodyDiv w:val="1"/>
      <w:marLeft w:val="0"/>
      <w:marRight w:val="0"/>
      <w:marTop w:val="0"/>
      <w:marBottom w:val="0"/>
      <w:divBdr>
        <w:top w:val="none" w:sz="0" w:space="0" w:color="auto"/>
        <w:left w:val="none" w:sz="0" w:space="0" w:color="auto"/>
        <w:bottom w:val="none" w:sz="0" w:space="0" w:color="auto"/>
        <w:right w:val="none" w:sz="0" w:space="0" w:color="auto"/>
      </w:divBdr>
    </w:div>
    <w:div w:id="180977266">
      <w:bodyDiv w:val="1"/>
      <w:marLeft w:val="0"/>
      <w:marRight w:val="0"/>
      <w:marTop w:val="0"/>
      <w:marBottom w:val="0"/>
      <w:divBdr>
        <w:top w:val="none" w:sz="0" w:space="0" w:color="auto"/>
        <w:left w:val="none" w:sz="0" w:space="0" w:color="auto"/>
        <w:bottom w:val="none" w:sz="0" w:space="0" w:color="auto"/>
        <w:right w:val="none" w:sz="0" w:space="0" w:color="auto"/>
      </w:divBdr>
    </w:div>
    <w:div w:id="182986916">
      <w:bodyDiv w:val="1"/>
      <w:marLeft w:val="0"/>
      <w:marRight w:val="0"/>
      <w:marTop w:val="0"/>
      <w:marBottom w:val="0"/>
      <w:divBdr>
        <w:top w:val="none" w:sz="0" w:space="0" w:color="auto"/>
        <w:left w:val="none" w:sz="0" w:space="0" w:color="auto"/>
        <w:bottom w:val="none" w:sz="0" w:space="0" w:color="auto"/>
        <w:right w:val="none" w:sz="0" w:space="0" w:color="auto"/>
      </w:divBdr>
    </w:div>
    <w:div w:id="186648012">
      <w:bodyDiv w:val="1"/>
      <w:marLeft w:val="0"/>
      <w:marRight w:val="0"/>
      <w:marTop w:val="0"/>
      <w:marBottom w:val="0"/>
      <w:divBdr>
        <w:top w:val="none" w:sz="0" w:space="0" w:color="auto"/>
        <w:left w:val="none" w:sz="0" w:space="0" w:color="auto"/>
        <w:bottom w:val="none" w:sz="0" w:space="0" w:color="auto"/>
        <w:right w:val="none" w:sz="0" w:space="0" w:color="auto"/>
      </w:divBdr>
    </w:div>
    <w:div w:id="206722139">
      <w:bodyDiv w:val="1"/>
      <w:marLeft w:val="0"/>
      <w:marRight w:val="0"/>
      <w:marTop w:val="0"/>
      <w:marBottom w:val="0"/>
      <w:divBdr>
        <w:top w:val="none" w:sz="0" w:space="0" w:color="auto"/>
        <w:left w:val="none" w:sz="0" w:space="0" w:color="auto"/>
        <w:bottom w:val="none" w:sz="0" w:space="0" w:color="auto"/>
        <w:right w:val="none" w:sz="0" w:space="0" w:color="auto"/>
      </w:divBdr>
    </w:div>
    <w:div w:id="244843220">
      <w:bodyDiv w:val="1"/>
      <w:marLeft w:val="0"/>
      <w:marRight w:val="0"/>
      <w:marTop w:val="0"/>
      <w:marBottom w:val="0"/>
      <w:divBdr>
        <w:top w:val="none" w:sz="0" w:space="0" w:color="auto"/>
        <w:left w:val="none" w:sz="0" w:space="0" w:color="auto"/>
        <w:bottom w:val="none" w:sz="0" w:space="0" w:color="auto"/>
        <w:right w:val="none" w:sz="0" w:space="0" w:color="auto"/>
      </w:divBdr>
    </w:div>
    <w:div w:id="339742856">
      <w:bodyDiv w:val="1"/>
      <w:marLeft w:val="0"/>
      <w:marRight w:val="0"/>
      <w:marTop w:val="0"/>
      <w:marBottom w:val="0"/>
      <w:divBdr>
        <w:top w:val="none" w:sz="0" w:space="0" w:color="auto"/>
        <w:left w:val="none" w:sz="0" w:space="0" w:color="auto"/>
        <w:bottom w:val="none" w:sz="0" w:space="0" w:color="auto"/>
        <w:right w:val="none" w:sz="0" w:space="0" w:color="auto"/>
      </w:divBdr>
    </w:div>
    <w:div w:id="407074246">
      <w:bodyDiv w:val="1"/>
      <w:marLeft w:val="0"/>
      <w:marRight w:val="0"/>
      <w:marTop w:val="0"/>
      <w:marBottom w:val="0"/>
      <w:divBdr>
        <w:top w:val="none" w:sz="0" w:space="0" w:color="auto"/>
        <w:left w:val="none" w:sz="0" w:space="0" w:color="auto"/>
        <w:bottom w:val="none" w:sz="0" w:space="0" w:color="auto"/>
        <w:right w:val="none" w:sz="0" w:space="0" w:color="auto"/>
      </w:divBdr>
    </w:div>
    <w:div w:id="427117691">
      <w:bodyDiv w:val="1"/>
      <w:marLeft w:val="0"/>
      <w:marRight w:val="0"/>
      <w:marTop w:val="0"/>
      <w:marBottom w:val="0"/>
      <w:divBdr>
        <w:top w:val="none" w:sz="0" w:space="0" w:color="auto"/>
        <w:left w:val="none" w:sz="0" w:space="0" w:color="auto"/>
        <w:bottom w:val="none" w:sz="0" w:space="0" w:color="auto"/>
        <w:right w:val="none" w:sz="0" w:space="0" w:color="auto"/>
      </w:divBdr>
    </w:div>
    <w:div w:id="428278616">
      <w:bodyDiv w:val="1"/>
      <w:marLeft w:val="0"/>
      <w:marRight w:val="0"/>
      <w:marTop w:val="0"/>
      <w:marBottom w:val="0"/>
      <w:divBdr>
        <w:top w:val="none" w:sz="0" w:space="0" w:color="auto"/>
        <w:left w:val="none" w:sz="0" w:space="0" w:color="auto"/>
        <w:bottom w:val="none" w:sz="0" w:space="0" w:color="auto"/>
        <w:right w:val="none" w:sz="0" w:space="0" w:color="auto"/>
      </w:divBdr>
    </w:div>
    <w:div w:id="461190433">
      <w:bodyDiv w:val="1"/>
      <w:marLeft w:val="0"/>
      <w:marRight w:val="0"/>
      <w:marTop w:val="0"/>
      <w:marBottom w:val="0"/>
      <w:divBdr>
        <w:top w:val="none" w:sz="0" w:space="0" w:color="auto"/>
        <w:left w:val="none" w:sz="0" w:space="0" w:color="auto"/>
        <w:bottom w:val="none" w:sz="0" w:space="0" w:color="auto"/>
        <w:right w:val="none" w:sz="0" w:space="0" w:color="auto"/>
      </w:divBdr>
    </w:div>
    <w:div w:id="461311251">
      <w:bodyDiv w:val="1"/>
      <w:marLeft w:val="0"/>
      <w:marRight w:val="0"/>
      <w:marTop w:val="0"/>
      <w:marBottom w:val="0"/>
      <w:divBdr>
        <w:top w:val="none" w:sz="0" w:space="0" w:color="auto"/>
        <w:left w:val="none" w:sz="0" w:space="0" w:color="auto"/>
        <w:bottom w:val="none" w:sz="0" w:space="0" w:color="auto"/>
        <w:right w:val="none" w:sz="0" w:space="0" w:color="auto"/>
      </w:divBdr>
    </w:div>
    <w:div w:id="464080916">
      <w:bodyDiv w:val="1"/>
      <w:marLeft w:val="0"/>
      <w:marRight w:val="0"/>
      <w:marTop w:val="0"/>
      <w:marBottom w:val="0"/>
      <w:divBdr>
        <w:top w:val="none" w:sz="0" w:space="0" w:color="auto"/>
        <w:left w:val="none" w:sz="0" w:space="0" w:color="auto"/>
        <w:bottom w:val="none" w:sz="0" w:space="0" w:color="auto"/>
        <w:right w:val="none" w:sz="0" w:space="0" w:color="auto"/>
      </w:divBdr>
    </w:div>
    <w:div w:id="481696609">
      <w:bodyDiv w:val="1"/>
      <w:marLeft w:val="0"/>
      <w:marRight w:val="0"/>
      <w:marTop w:val="0"/>
      <w:marBottom w:val="0"/>
      <w:divBdr>
        <w:top w:val="none" w:sz="0" w:space="0" w:color="auto"/>
        <w:left w:val="none" w:sz="0" w:space="0" w:color="auto"/>
        <w:bottom w:val="none" w:sz="0" w:space="0" w:color="auto"/>
        <w:right w:val="none" w:sz="0" w:space="0" w:color="auto"/>
      </w:divBdr>
    </w:div>
    <w:div w:id="519398005">
      <w:bodyDiv w:val="1"/>
      <w:marLeft w:val="0"/>
      <w:marRight w:val="0"/>
      <w:marTop w:val="0"/>
      <w:marBottom w:val="0"/>
      <w:divBdr>
        <w:top w:val="none" w:sz="0" w:space="0" w:color="auto"/>
        <w:left w:val="none" w:sz="0" w:space="0" w:color="auto"/>
        <w:bottom w:val="none" w:sz="0" w:space="0" w:color="auto"/>
        <w:right w:val="none" w:sz="0" w:space="0" w:color="auto"/>
      </w:divBdr>
    </w:div>
    <w:div w:id="553347592">
      <w:bodyDiv w:val="1"/>
      <w:marLeft w:val="0"/>
      <w:marRight w:val="0"/>
      <w:marTop w:val="0"/>
      <w:marBottom w:val="0"/>
      <w:divBdr>
        <w:top w:val="none" w:sz="0" w:space="0" w:color="auto"/>
        <w:left w:val="none" w:sz="0" w:space="0" w:color="auto"/>
        <w:bottom w:val="none" w:sz="0" w:space="0" w:color="auto"/>
        <w:right w:val="none" w:sz="0" w:space="0" w:color="auto"/>
      </w:divBdr>
    </w:div>
    <w:div w:id="556204097">
      <w:bodyDiv w:val="1"/>
      <w:marLeft w:val="0"/>
      <w:marRight w:val="0"/>
      <w:marTop w:val="0"/>
      <w:marBottom w:val="0"/>
      <w:divBdr>
        <w:top w:val="none" w:sz="0" w:space="0" w:color="auto"/>
        <w:left w:val="none" w:sz="0" w:space="0" w:color="auto"/>
        <w:bottom w:val="none" w:sz="0" w:space="0" w:color="auto"/>
        <w:right w:val="none" w:sz="0" w:space="0" w:color="auto"/>
      </w:divBdr>
    </w:div>
    <w:div w:id="594477234">
      <w:bodyDiv w:val="1"/>
      <w:marLeft w:val="0"/>
      <w:marRight w:val="0"/>
      <w:marTop w:val="0"/>
      <w:marBottom w:val="0"/>
      <w:divBdr>
        <w:top w:val="none" w:sz="0" w:space="0" w:color="auto"/>
        <w:left w:val="none" w:sz="0" w:space="0" w:color="auto"/>
        <w:bottom w:val="none" w:sz="0" w:space="0" w:color="auto"/>
        <w:right w:val="none" w:sz="0" w:space="0" w:color="auto"/>
      </w:divBdr>
    </w:div>
    <w:div w:id="633295269">
      <w:bodyDiv w:val="1"/>
      <w:marLeft w:val="0"/>
      <w:marRight w:val="0"/>
      <w:marTop w:val="0"/>
      <w:marBottom w:val="0"/>
      <w:divBdr>
        <w:top w:val="none" w:sz="0" w:space="0" w:color="auto"/>
        <w:left w:val="none" w:sz="0" w:space="0" w:color="auto"/>
        <w:bottom w:val="none" w:sz="0" w:space="0" w:color="auto"/>
        <w:right w:val="none" w:sz="0" w:space="0" w:color="auto"/>
      </w:divBdr>
    </w:div>
    <w:div w:id="634020739">
      <w:bodyDiv w:val="1"/>
      <w:marLeft w:val="0"/>
      <w:marRight w:val="0"/>
      <w:marTop w:val="0"/>
      <w:marBottom w:val="0"/>
      <w:divBdr>
        <w:top w:val="none" w:sz="0" w:space="0" w:color="auto"/>
        <w:left w:val="none" w:sz="0" w:space="0" w:color="auto"/>
        <w:bottom w:val="none" w:sz="0" w:space="0" w:color="auto"/>
        <w:right w:val="none" w:sz="0" w:space="0" w:color="auto"/>
      </w:divBdr>
    </w:div>
    <w:div w:id="645936356">
      <w:bodyDiv w:val="1"/>
      <w:marLeft w:val="0"/>
      <w:marRight w:val="0"/>
      <w:marTop w:val="0"/>
      <w:marBottom w:val="0"/>
      <w:divBdr>
        <w:top w:val="none" w:sz="0" w:space="0" w:color="auto"/>
        <w:left w:val="none" w:sz="0" w:space="0" w:color="auto"/>
        <w:bottom w:val="none" w:sz="0" w:space="0" w:color="auto"/>
        <w:right w:val="none" w:sz="0" w:space="0" w:color="auto"/>
      </w:divBdr>
    </w:div>
    <w:div w:id="662051913">
      <w:bodyDiv w:val="1"/>
      <w:marLeft w:val="0"/>
      <w:marRight w:val="0"/>
      <w:marTop w:val="0"/>
      <w:marBottom w:val="0"/>
      <w:divBdr>
        <w:top w:val="none" w:sz="0" w:space="0" w:color="auto"/>
        <w:left w:val="none" w:sz="0" w:space="0" w:color="auto"/>
        <w:bottom w:val="none" w:sz="0" w:space="0" w:color="auto"/>
        <w:right w:val="none" w:sz="0" w:space="0" w:color="auto"/>
      </w:divBdr>
    </w:div>
    <w:div w:id="702901431">
      <w:bodyDiv w:val="1"/>
      <w:marLeft w:val="0"/>
      <w:marRight w:val="0"/>
      <w:marTop w:val="0"/>
      <w:marBottom w:val="0"/>
      <w:divBdr>
        <w:top w:val="none" w:sz="0" w:space="0" w:color="auto"/>
        <w:left w:val="none" w:sz="0" w:space="0" w:color="auto"/>
        <w:bottom w:val="none" w:sz="0" w:space="0" w:color="auto"/>
        <w:right w:val="none" w:sz="0" w:space="0" w:color="auto"/>
      </w:divBdr>
    </w:div>
    <w:div w:id="711459903">
      <w:bodyDiv w:val="1"/>
      <w:marLeft w:val="0"/>
      <w:marRight w:val="0"/>
      <w:marTop w:val="0"/>
      <w:marBottom w:val="0"/>
      <w:divBdr>
        <w:top w:val="none" w:sz="0" w:space="0" w:color="auto"/>
        <w:left w:val="none" w:sz="0" w:space="0" w:color="auto"/>
        <w:bottom w:val="none" w:sz="0" w:space="0" w:color="auto"/>
        <w:right w:val="none" w:sz="0" w:space="0" w:color="auto"/>
      </w:divBdr>
    </w:div>
    <w:div w:id="734820866">
      <w:bodyDiv w:val="1"/>
      <w:marLeft w:val="0"/>
      <w:marRight w:val="0"/>
      <w:marTop w:val="0"/>
      <w:marBottom w:val="0"/>
      <w:divBdr>
        <w:top w:val="none" w:sz="0" w:space="0" w:color="auto"/>
        <w:left w:val="none" w:sz="0" w:space="0" w:color="auto"/>
        <w:bottom w:val="none" w:sz="0" w:space="0" w:color="auto"/>
        <w:right w:val="none" w:sz="0" w:space="0" w:color="auto"/>
      </w:divBdr>
    </w:div>
    <w:div w:id="784617380">
      <w:bodyDiv w:val="1"/>
      <w:marLeft w:val="0"/>
      <w:marRight w:val="0"/>
      <w:marTop w:val="0"/>
      <w:marBottom w:val="0"/>
      <w:divBdr>
        <w:top w:val="none" w:sz="0" w:space="0" w:color="auto"/>
        <w:left w:val="none" w:sz="0" w:space="0" w:color="auto"/>
        <w:bottom w:val="none" w:sz="0" w:space="0" w:color="auto"/>
        <w:right w:val="none" w:sz="0" w:space="0" w:color="auto"/>
      </w:divBdr>
    </w:div>
    <w:div w:id="808211568">
      <w:bodyDiv w:val="1"/>
      <w:marLeft w:val="0"/>
      <w:marRight w:val="0"/>
      <w:marTop w:val="0"/>
      <w:marBottom w:val="0"/>
      <w:divBdr>
        <w:top w:val="none" w:sz="0" w:space="0" w:color="auto"/>
        <w:left w:val="none" w:sz="0" w:space="0" w:color="auto"/>
        <w:bottom w:val="none" w:sz="0" w:space="0" w:color="auto"/>
        <w:right w:val="none" w:sz="0" w:space="0" w:color="auto"/>
      </w:divBdr>
    </w:div>
    <w:div w:id="826671160">
      <w:bodyDiv w:val="1"/>
      <w:marLeft w:val="0"/>
      <w:marRight w:val="0"/>
      <w:marTop w:val="0"/>
      <w:marBottom w:val="0"/>
      <w:divBdr>
        <w:top w:val="none" w:sz="0" w:space="0" w:color="auto"/>
        <w:left w:val="none" w:sz="0" w:space="0" w:color="auto"/>
        <w:bottom w:val="none" w:sz="0" w:space="0" w:color="auto"/>
        <w:right w:val="none" w:sz="0" w:space="0" w:color="auto"/>
      </w:divBdr>
    </w:div>
    <w:div w:id="958798445">
      <w:bodyDiv w:val="1"/>
      <w:marLeft w:val="0"/>
      <w:marRight w:val="0"/>
      <w:marTop w:val="0"/>
      <w:marBottom w:val="0"/>
      <w:divBdr>
        <w:top w:val="none" w:sz="0" w:space="0" w:color="auto"/>
        <w:left w:val="none" w:sz="0" w:space="0" w:color="auto"/>
        <w:bottom w:val="none" w:sz="0" w:space="0" w:color="auto"/>
        <w:right w:val="none" w:sz="0" w:space="0" w:color="auto"/>
      </w:divBdr>
    </w:div>
    <w:div w:id="970944315">
      <w:bodyDiv w:val="1"/>
      <w:marLeft w:val="0"/>
      <w:marRight w:val="0"/>
      <w:marTop w:val="0"/>
      <w:marBottom w:val="0"/>
      <w:divBdr>
        <w:top w:val="none" w:sz="0" w:space="0" w:color="auto"/>
        <w:left w:val="none" w:sz="0" w:space="0" w:color="auto"/>
        <w:bottom w:val="none" w:sz="0" w:space="0" w:color="auto"/>
        <w:right w:val="none" w:sz="0" w:space="0" w:color="auto"/>
      </w:divBdr>
    </w:div>
    <w:div w:id="979457841">
      <w:bodyDiv w:val="1"/>
      <w:marLeft w:val="0"/>
      <w:marRight w:val="0"/>
      <w:marTop w:val="0"/>
      <w:marBottom w:val="0"/>
      <w:divBdr>
        <w:top w:val="none" w:sz="0" w:space="0" w:color="auto"/>
        <w:left w:val="none" w:sz="0" w:space="0" w:color="auto"/>
        <w:bottom w:val="none" w:sz="0" w:space="0" w:color="auto"/>
        <w:right w:val="none" w:sz="0" w:space="0" w:color="auto"/>
      </w:divBdr>
    </w:div>
    <w:div w:id="990057168">
      <w:bodyDiv w:val="1"/>
      <w:marLeft w:val="0"/>
      <w:marRight w:val="0"/>
      <w:marTop w:val="0"/>
      <w:marBottom w:val="0"/>
      <w:divBdr>
        <w:top w:val="none" w:sz="0" w:space="0" w:color="auto"/>
        <w:left w:val="none" w:sz="0" w:space="0" w:color="auto"/>
        <w:bottom w:val="none" w:sz="0" w:space="0" w:color="auto"/>
        <w:right w:val="none" w:sz="0" w:space="0" w:color="auto"/>
      </w:divBdr>
    </w:div>
    <w:div w:id="1023820933">
      <w:bodyDiv w:val="1"/>
      <w:marLeft w:val="0"/>
      <w:marRight w:val="0"/>
      <w:marTop w:val="0"/>
      <w:marBottom w:val="0"/>
      <w:divBdr>
        <w:top w:val="none" w:sz="0" w:space="0" w:color="auto"/>
        <w:left w:val="none" w:sz="0" w:space="0" w:color="auto"/>
        <w:bottom w:val="none" w:sz="0" w:space="0" w:color="auto"/>
        <w:right w:val="none" w:sz="0" w:space="0" w:color="auto"/>
      </w:divBdr>
    </w:div>
    <w:div w:id="1028917135">
      <w:bodyDiv w:val="1"/>
      <w:marLeft w:val="0"/>
      <w:marRight w:val="0"/>
      <w:marTop w:val="0"/>
      <w:marBottom w:val="0"/>
      <w:divBdr>
        <w:top w:val="none" w:sz="0" w:space="0" w:color="auto"/>
        <w:left w:val="none" w:sz="0" w:space="0" w:color="auto"/>
        <w:bottom w:val="none" w:sz="0" w:space="0" w:color="auto"/>
        <w:right w:val="none" w:sz="0" w:space="0" w:color="auto"/>
      </w:divBdr>
    </w:div>
    <w:div w:id="1043599087">
      <w:bodyDiv w:val="1"/>
      <w:marLeft w:val="0"/>
      <w:marRight w:val="0"/>
      <w:marTop w:val="0"/>
      <w:marBottom w:val="0"/>
      <w:divBdr>
        <w:top w:val="none" w:sz="0" w:space="0" w:color="auto"/>
        <w:left w:val="none" w:sz="0" w:space="0" w:color="auto"/>
        <w:bottom w:val="none" w:sz="0" w:space="0" w:color="auto"/>
        <w:right w:val="none" w:sz="0" w:space="0" w:color="auto"/>
      </w:divBdr>
    </w:div>
    <w:div w:id="1070730414">
      <w:bodyDiv w:val="1"/>
      <w:marLeft w:val="0"/>
      <w:marRight w:val="0"/>
      <w:marTop w:val="0"/>
      <w:marBottom w:val="0"/>
      <w:divBdr>
        <w:top w:val="none" w:sz="0" w:space="0" w:color="auto"/>
        <w:left w:val="none" w:sz="0" w:space="0" w:color="auto"/>
        <w:bottom w:val="none" w:sz="0" w:space="0" w:color="auto"/>
        <w:right w:val="none" w:sz="0" w:space="0" w:color="auto"/>
      </w:divBdr>
    </w:div>
    <w:div w:id="1074281406">
      <w:bodyDiv w:val="1"/>
      <w:marLeft w:val="0"/>
      <w:marRight w:val="0"/>
      <w:marTop w:val="0"/>
      <w:marBottom w:val="0"/>
      <w:divBdr>
        <w:top w:val="none" w:sz="0" w:space="0" w:color="auto"/>
        <w:left w:val="none" w:sz="0" w:space="0" w:color="auto"/>
        <w:bottom w:val="none" w:sz="0" w:space="0" w:color="auto"/>
        <w:right w:val="none" w:sz="0" w:space="0" w:color="auto"/>
      </w:divBdr>
    </w:div>
    <w:div w:id="1074859816">
      <w:bodyDiv w:val="1"/>
      <w:marLeft w:val="0"/>
      <w:marRight w:val="0"/>
      <w:marTop w:val="0"/>
      <w:marBottom w:val="0"/>
      <w:divBdr>
        <w:top w:val="none" w:sz="0" w:space="0" w:color="auto"/>
        <w:left w:val="none" w:sz="0" w:space="0" w:color="auto"/>
        <w:bottom w:val="none" w:sz="0" w:space="0" w:color="auto"/>
        <w:right w:val="none" w:sz="0" w:space="0" w:color="auto"/>
      </w:divBdr>
    </w:div>
    <w:div w:id="1108739317">
      <w:bodyDiv w:val="1"/>
      <w:marLeft w:val="0"/>
      <w:marRight w:val="0"/>
      <w:marTop w:val="0"/>
      <w:marBottom w:val="0"/>
      <w:divBdr>
        <w:top w:val="none" w:sz="0" w:space="0" w:color="auto"/>
        <w:left w:val="none" w:sz="0" w:space="0" w:color="auto"/>
        <w:bottom w:val="none" w:sz="0" w:space="0" w:color="auto"/>
        <w:right w:val="none" w:sz="0" w:space="0" w:color="auto"/>
      </w:divBdr>
    </w:div>
    <w:div w:id="1197154804">
      <w:bodyDiv w:val="1"/>
      <w:marLeft w:val="0"/>
      <w:marRight w:val="0"/>
      <w:marTop w:val="0"/>
      <w:marBottom w:val="0"/>
      <w:divBdr>
        <w:top w:val="none" w:sz="0" w:space="0" w:color="auto"/>
        <w:left w:val="none" w:sz="0" w:space="0" w:color="auto"/>
        <w:bottom w:val="none" w:sz="0" w:space="0" w:color="auto"/>
        <w:right w:val="none" w:sz="0" w:space="0" w:color="auto"/>
      </w:divBdr>
    </w:div>
    <w:div w:id="1243759103">
      <w:bodyDiv w:val="1"/>
      <w:marLeft w:val="0"/>
      <w:marRight w:val="0"/>
      <w:marTop w:val="0"/>
      <w:marBottom w:val="0"/>
      <w:divBdr>
        <w:top w:val="none" w:sz="0" w:space="0" w:color="auto"/>
        <w:left w:val="none" w:sz="0" w:space="0" w:color="auto"/>
        <w:bottom w:val="none" w:sz="0" w:space="0" w:color="auto"/>
        <w:right w:val="none" w:sz="0" w:space="0" w:color="auto"/>
      </w:divBdr>
    </w:div>
    <w:div w:id="1300191651">
      <w:bodyDiv w:val="1"/>
      <w:marLeft w:val="0"/>
      <w:marRight w:val="0"/>
      <w:marTop w:val="0"/>
      <w:marBottom w:val="0"/>
      <w:divBdr>
        <w:top w:val="none" w:sz="0" w:space="0" w:color="auto"/>
        <w:left w:val="none" w:sz="0" w:space="0" w:color="auto"/>
        <w:bottom w:val="none" w:sz="0" w:space="0" w:color="auto"/>
        <w:right w:val="none" w:sz="0" w:space="0" w:color="auto"/>
      </w:divBdr>
    </w:div>
    <w:div w:id="1321160231">
      <w:bodyDiv w:val="1"/>
      <w:marLeft w:val="0"/>
      <w:marRight w:val="0"/>
      <w:marTop w:val="0"/>
      <w:marBottom w:val="0"/>
      <w:divBdr>
        <w:top w:val="none" w:sz="0" w:space="0" w:color="auto"/>
        <w:left w:val="none" w:sz="0" w:space="0" w:color="auto"/>
        <w:bottom w:val="none" w:sz="0" w:space="0" w:color="auto"/>
        <w:right w:val="none" w:sz="0" w:space="0" w:color="auto"/>
      </w:divBdr>
    </w:div>
    <w:div w:id="1344167071">
      <w:bodyDiv w:val="1"/>
      <w:marLeft w:val="0"/>
      <w:marRight w:val="0"/>
      <w:marTop w:val="0"/>
      <w:marBottom w:val="0"/>
      <w:divBdr>
        <w:top w:val="none" w:sz="0" w:space="0" w:color="auto"/>
        <w:left w:val="none" w:sz="0" w:space="0" w:color="auto"/>
        <w:bottom w:val="none" w:sz="0" w:space="0" w:color="auto"/>
        <w:right w:val="none" w:sz="0" w:space="0" w:color="auto"/>
      </w:divBdr>
    </w:div>
    <w:div w:id="1384913598">
      <w:bodyDiv w:val="1"/>
      <w:marLeft w:val="0"/>
      <w:marRight w:val="0"/>
      <w:marTop w:val="0"/>
      <w:marBottom w:val="0"/>
      <w:divBdr>
        <w:top w:val="none" w:sz="0" w:space="0" w:color="auto"/>
        <w:left w:val="none" w:sz="0" w:space="0" w:color="auto"/>
        <w:bottom w:val="none" w:sz="0" w:space="0" w:color="auto"/>
        <w:right w:val="none" w:sz="0" w:space="0" w:color="auto"/>
      </w:divBdr>
    </w:div>
    <w:div w:id="1395157767">
      <w:bodyDiv w:val="1"/>
      <w:marLeft w:val="0"/>
      <w:marRight w:val="0"/>
      <w:marTop w:val="0"/>
      <w:marBottom w:val="0"/>
      <w:divBdr>
        <w:top w:val="none" w:sz="0" w:space="0" w:color="auto"/>
        <w:left w:val="none" w:sz="0" w:space="0" w:color="auto"/>
        <w:bottom w:val="none" w:sz="0" w:space="0" w:color="auto"/>
        <w:right w:val="none" w:sz="0" w:space="0" w:color="auto"/>
      </w:divBdr>
    </w:div>
    <w:div w:id="1409426650">
      <w:bodyDiv w:val="1"/>
      <w:marLeft w:val="0"/>
      <w:marRight w:val="0"/>
      <w:marTop w:val="0"/>
      <w:marBottom w:val="0"/>
      <w:divBdr>
        <w:top w:val="none" w:sz="0" w:space="0" w:color="auto"/>
        <w:left w:val="none" w:sz="0" w:space="0" w:color="auto"/>
        <w:bottom w:val="none" w:sz="0" w:space="0" w:color="auto"/>
        <w:right w:val="none" w:sz="0" w:space="0" w:color="auto"/>
      </w:divBdr>
    </w:div>
    <w:div w:id="1431968624">
      <w:bodyDiv w:val="1"/>
      <w:marLeft w:val="0"/>
      <w:marRight w:val="0"/>
      <w:marTop w:val="0"/>
      <w:marBottom w:val="0"/>
      <w:divBdr>
        <w:top w:val="none" w:sz="0" w:space="0" w:color="auto"/>
        <w:left w:val="none" w:sz="0" w:space="0" w:color="auto"/>
        <w:bottom w:val="none" w:sz="0" w:space="0" w:color="auto"/>
        <w:right w:val="none" w:sz="0" w:space="0" w:color="auto"/>
      </w:divBdr>
    </w:div>
    <w:div w:id="1451512281">
      <w:bodyDiv w:val="1"/>
      <w:marLeft w:val="0"/>
      <w:marRight w:val="0"/>
      <w:marTop w:val="0"/>
      <w:marBottom w:val="0"/>
      <w:divBdr>
        <w:top w:val="none" w:sz="0" w:space="0" w:color="auto"/>
        <w:left w:val="none" w:sz="0" w:space="0" w:color="auto"/>
        <w:bottom w:val="none" w:sz="0" w:space="0" w:color="auto"/>
        <w:right w:val="none" w:sz="0" w:space="0" w:color="auto"/>
      </w:divBdr>
    </w:div>
    <w:div w:id="1459688922">
      <w:bodyDiv w:val="1"/>
      <w:marLeft w:val="0"/>
      <w:marRight w:val="0"/>
      <w:marTop w:val="0"/>
      <w:marBottom w:val="0"/>
      <w:divBdr>
        <w:top w:val="none" w:sz="0" w:space="0" w:color="auto"/>
        <w:left w:val="none" w:sz="0" w:space="0" w:color="auto"/>
        <w:bottom w:val="none" w:sz="0" w:space="0" w:color="auto"/>
        <w:right w:val="none" w:sz="0" w:space="0" w:color="auto"/>
      </w:divBdr>
    </w:div>
    <w:div w:id="1465125426">
      <w:bodyDiv w:val="1"/>
      <w:marLeft w:val="0"/>
      <w:marRight w:val="0"/>
      <w:marTop w:val="0"/>
      <w:marBottom w:val="0"/>
      <w:divBdr>
        <w:top w:val="none" w:sz="0" w:space="0" w:color="auto"/>
        <w:left w:val="none" w:sz="0" w:space="0" w:color="auto"/>
        <w:bottom w:val="none" w:sz="0" w:space="0" w:color="auto"/>
        <w:right w:val="none" w:sz="0" w:space="0" w:color="auto"/>
      </w:divBdr>
    </w:div>
    <w:div w:id="1470436156">
      <w:bodyDiv w:val="1"/>
      <w:marLeft w:val="0"/>
      <w:marRight w:val="0"/>
      <w:marTop w:val="0"/>
      <w:marBottom w:val="0"/>
      <w:divBdr>
        <w:top w:val="none" w:sz="0" w:space="0" w:color="auto"/>
        <w:left w:val="none" w:sz="0" w:space="0" w:color="auto"/>
        <w:bottom w:val="none" w:sz="0" w:space="0" w:color="auto"/>
        <w:right w:val="none" w:sz="0" w:space="0" w:color="auto"/>
      </w:divBdr>
    </w:div>
    <w:div w:id="1507789991">
      <w:bodyDiv w:val="1"/>
      <w:marLeft w:val="0"/>
      <w:marRight w:val="0"/>
      <w:marTop w:val="0"/>
      <w:marBottom w:val="0"/>
      <w:divBdr>
        <w:top w:val="none" w:sz="0" w:space="0" w:color="auto"/>
        <w:left w:val="none" w:sz="0" w:space="0" w:color="auto"/>
        <w:bottom w:val="none" w:sz="0" w:space="0" w:color="auto"/>
        <w:right w:val="none" w:sz="0" w:space="0" w:color="auto"/>
      </w:divBdr>
    </w:div>
    <w:div w:id="1522278679">
      <w:bodyDiv w:val="1"/>
      <w:marLeft w:val="0"/>
      <w:marRight w:val="0"/>
      <w:marTop w:val="0"/>
      <w:marBottom w:val="0"/>
      <w:divBdr>
        <w:top w:val="none" w:sz="0" w:space="0" w:color="auto"/>
        <w:left w:val="none" w:sz="0" w:space="0" w:color="auto"/>
        <w:bottom w:val="none" w:sz="0" w:space="0" w:color="auto"/>
        <w:right w:val="none" w:sz="0" w:space="0" w:color="auto"/>
      </w:divBdr>
    </w:div>
    <w:div w:id="1531842206">
      <w:bodyDiv w:val="1"/>
      <w:marLeft w:val="0"/>
      <w:marRight w:val="0"/>
      <w:marTop w:val="0"/>
      <w:marBottom w:val="0"/>
      <w:divBdr>
        <w:top w:val="none" w:sz="0" w:space="0" w:color="auto"/>
        <w:left w:val="none" w:sz="0" w:space="0" w:color="auto"/>
        <w:bottom w:val="none" w:sz="0" w:space="0" w:color="auto"/>
        <w:right w:val="none" w:sz="0" w:space="0" w:color="auto"/>
      </w:divBdr>
    </w:div>
    <w:div w:id="1533952619">
      <w:bodyDiv w:val="1"/>
      <w:marLeft w:val="0"/>
      <w:marRight w:val="0"/>
      <w:marTop w:val="0"/>
      <w:marBottom w:val="0"/>
      <w:divBdr>
        <w:top w:val="none" w:sz="0" w:space="0" w:color="auto"/>
        <w:left w:val="none" w:sz="0" w:space="0" w:color="auto"/>
        <w:bottom w:val="none" w:sz="0" w:space="0" w:color="auto"/>
        <w:right w:val="none" w:sz="0" w:space="0" w:color="auto"/>
      </w:divBdr>
    </w:div>
    <w:div w:id="1562982358">
      <w:bodyDiv w:val="1"/>
      <w:marLeft w:val="0"/>
      <w:marRight w:val="0"/>
      <w:marTop w:val="0"/>
      <w:marBottom w:val="0"/>
      <w:divBdr>
        <w:top w:val="none" w:sz="0" w:space="0" w:color="auto"/>
        <w:left w:val="none" w:sz="0" w:space="0" w:color="auto"/>
        <w:bottom w:val="none" w:sz="0" w:space="0" w:color="auto"/>
        <w:right w:val="none" w:sz="0" w:space="0" w:color="auto"/>
      </w:divBdr>
    </w:div>
    <w:div w:id="1573664344">
      <w:bodyDiv w:val="1"/>
      <w:marLeft w:val="0"/>
      <w:marRight w:val="0"/>
      <w:marTop w:val="0"/>
      <w:marBottom w:val="0"/>
      <w:divBdr>
        <w:top w:val="none" w:sz="0" w:space="0" w:color="auto"/>
        <w:left w:val="none" w:sz="0" w:space="0" w:color="auto"/>
        <w:bottom w:val="none" w:sz="0" w:space="0" w:color="auto"/>
        <w:right w:val="none" w:sz="0" w:space="0" w:color="auto"/>
      </w:divBdr>
    </w:div>
    <w:div w:id="1597862083">
      <w:bodyDiv w:val="1"/>
      <w:marLeft w:val="0"/>
      <w:marRight w:val="0"/>
      <w:marTop w:val="0"/>
      <w:marBottom w:val="0"/>
      <w:divBdr>
        <w:top w:val="none" w:sz="0" w:space="0" w:color="auto"/>
        <w:left w:val="none" w:sz="0" w:space="0" w:color="auto"/>
        <w:bottom w:val="none" w:sz="0" w:space="0" w:color="auto"/>
        <w:right w:val="none" w:sz="0" w:space="0" w:color="auto"/>
      </w:divBdr>
      <w:divsChild>
        <w:div w:id="302782473">
          <w:marLeft w:val="480"/>
          <w:marRight w:val="0"/>
          <w:marTop w:val="0"/>
          <w:marBottom w:val="0"/>
          <w:divBdr>
            <w:top w:val="none" w:sz="0" w:space="0" w:color="auto"/>
            <w:left w:val="none" w:sz="0" w:space="0" w:color="auto"/>
            <w:bottom w:val="none" w:sz="0" w:space="0" w:color="auto"/>
            <w:right w:val="none" w:sz="0" w:space="0" w:color="auto"/>
          </w:divBdr>
        </w:div>
        <w:div w:id="777333483">
          <w:marLeft w:val="480"/>
          <w:marRight w:val="0"/>
          <w:marTop w:val="0"/>
          <w:marBottom w:val="0"/>
          <w:divBdr>
            <w:top w:val="none" w:sz="0" w:space="0" w:color="auto"/>
            <w:left w:val="none" w:sz="0" w:space="0" w:color="auto"/>
            <w:bottom w:val="none" w:sz="0" w:space="0" w:color="auto"/>
            <w:right w:val="none" w:sz="0" w:space="0" w:color="auto"/>
          </w:divBdr>
        </w:div>
        <w:div w:id="2117482249">
          <w:marLeft w:val="480"/>
          <w:marRight w:val="0"/>
          <w:marTop w:val="0"/>
          <w:marBottom w:val="0"/>
          <w:divBdr>
            <w:top w:val="none" w:sz="0" w:space="0" w:color="auto"/>
            <w:left w:val="none" w:sz="0" w:space="0" w:color="auto"/>
            <w:bottom w:val="none" w:sz="0" w:space="0" w:color="auto"/>
            <w:right w:val="none" w:sz="0" w:space="0" w:color="auto"/>
          </w:divBdr>
        </w:div>
        <w:div w:id="1588465055">
          <w:marLeft w:val="480"/>
          <w:marRight w:val="0"/>
          <w:marTop w:val="0"/>
          <w:marBottom w:val="0"/>
          <w:divBdr>
            <w:top w:val="none" w:sz="0" w:space="0" w:color="auto"/>
            <w:left w:val="none" w:sz="0" w:space="0" w:color="auto"/>
            <w:bottom w:val="none" w:sz="0" w:space="0" w:color="auto"/>
            <w:right w:val="none" w:sz="0" w:space="0" w:color="auto"/>
          </w:divBdr>
        </w:div>
        <w:div w:id="199631862">
          <w:marLeft w:val="480"/>
          <w:marRight w:val="0"/>
          <w:marTop w:val="0"/>
          <w:marBottom w:val="0"/>
          <w:divBdr>
            <w:top w:val="none" w:sz="0" w:space="0" w:color="auto"/>
            <w:left w:val="none" w:sz="0" w:space="0" w:color="auto"/>
            <w:bottom w:val="none" w:sz="0" w:space="0" w:color="auto"/>
            <w:right w:val="none" w:sz="0" w:space="0" w:color="auto"/>
          </w:divBdr>
        </w:div>
        <w:div w:id="795221728">
          <w:marLeft w:val="480"/>
          <w:marRight w:val="0"/>
          <w:marTop w:val="0"/>
          <w:marBottom w:val="0"/>
          <w:divBdr>
            <w:top w:val="none" w:sz="0" w:space="0" w:color="auto"/>
            <w:left w:val="none" w:sz="0" w:space="0" w:color="auto"/>
            <w:bottom w:val="none" w:sz="0" w:space="0" w:color="auto"/>
            <w:right w:val="none" w:sz="0" w:space="0" w:color="auto"/>
          </w:divBdr>
        </w:div>
        <w:div w:id="2104916181">
          <w:marLeft w:val="480"/>
          <w:marRight w:val="0"/>
          <w:marTop w:val="0"/>
          <w:marBottom w:val="0"/>
          <w:divBdr>
            <w:top w:val="none" w:sz="0" w:space="0" w:color="auto"/>
            <w:left w:val="none" w:sz="0" w:space="0" w:color="auto"/>
            <w:bottom w:val="none" w:sz="0" w:space="0" w:color="auto"/>
            <w:right w:val="none" w:sz="0" w:space="0" w:color="auto"/>
          </w:divBdr>
        </w:div>
        <w:div w:id="918637733">
          <w:marLeft w:val="480"/>
          <w:marRight w:val="0"/>
          <w:marTop w:val="0"/>
          <w:marBottom w:val="0"/>
          <w:divBdr>
            <w:top w:val="none" w:sz="0" w:space="0" w:color="auto"/>
            <w:left w:val="none" w:sz="0" w:space="0" w:color="auto"/>
            <w:bottom w:val="none" w:sz="0" w:space="0" w:color="auto"/>
            <w:right w:val="none" w:sz="0" w:space="0" w:color="auto"/>
          </w:divBdr>
        </w:div>
        <w:div w:id="111176121">
          <w:marLeft w:val="480"/>
          <w:marRight w:val="0"/>
          <w:marTop w:val="0"/>
          <w:marBottom w:val="0"/>
          <w:divBdr>
            <w:top w:val="none" w:sz="0" w:space="0" w:color="auto"/>
            <w:left w:val="none" w:sz="0" w:space="0" w:color="auto"/>
            <w:bottom w:val="none" w:sz="0" w:space="0" w:color="auto"/>
            <w:right w:val="none" w:sz="0" w:space="0" w:color="auto"/>
          </w:divBdr>
        </w:div>
        <w:div w:id="1996717215">
          <w:marLeft w:val="480"/>
          <w:marRight w:val="0"/>
          <w:marTop w:val="0"/>
          <w:marBottom w:val="0"/>
          <w:divBdr>
            <w:top w:val="none" w:sz="0" w:space="0" w:color="auto"/>
            <w:left w:val="none" w:sz="0" w:space="0" w:color="auto"/>
            <w:bottom w:val="none" w:sz="0" w:space="0" w:color="auto"/>
            <w:right w:val="none" w:sz="0" w:space="0" w:color="auto"/>
          </w:divBdr>
        </w:div>
        <w:div w:id="2137016290">
          <w:marLeft w:val="480"/>
          <w:marRight w:val="0"/>
          <w:marTop w:val="0"/>
          <w:marBottom w:val="0"/>
          <w:divBdr>
            <w:top w:val="none" w:sz="0" w:space="0" w:color="auto"/>
            <w:left w:val="none" w:sz="0" w:space="0" w:color="auto"/>
            <w:bottom w:val="none" w:sz="0" w:space="0" w:color="auto"/>
            <w:right w:val="none" w:sz="0" w:space="0" w:color="auto"/>
          </w:divBdr>
        </w:div>
        <w:div w:id="1077705941">
          <w:marLeft w:val="480"/>
          <w:marRight w:val="0"/>
          <w:marTop w:val="0"/>
          <w:marBottom w:val="0"/>
          <w:divBdr>
            <w:top w:val="none" w:sz="0" w:space="0" w:color="auto"/>
            <w:left w:val="none" w:sz="0" w:space="0" w:color="auto"/>
            <w:bottom w:val="none" w:sz="0" w:space="0" w:color="auto"/>
            <w:right w:val="none" w:sz="0" w:space="0" w:color="auto"/>
          </w:divBdr>
        </w:div>
        <w:div w:id="416756891">
          <w:marLeft w:val="480"/>
          <w:marRight w:val="0"/>
          <w:marTop w:val="0"/>
          <w:marBottom w:val="0"/>
          <w:divBdr>
            <w:top w:val="none" w:sz="0" w:space="0" w:color="auto"/>
            <w:left w:val="none" w:sz="0" w:space="0" w:color="auto"/>
            <w:bottom w:val="none" w:sz="0" w:space="0" w:color="auto"/>
            <w:right w:val="none" w:sz="0" w:space="0" w:color="auto"/>
          </w:divBdr>
        </w:div>
        <w:div w:id="1052387902">
          <w:marLeft w:val="480"/>
          <w:marRight w:val="0"/>
          <w:marTop w:val="0"/>
          <w:marBottom w:val="0"/>
          <w:divBdr>
            <w:top w:val="none" w:sz="0" w:space="0" w:color="auto"/>
            <w:left w:val="none" w:sz="0" w:space="0" w:color="auto"/>
            <w:bottom w:val="none" w:sz="0" w:space="0" w:color="auto"/>
            <w:right w:val="none" w:sz="0" w:space="0" w:color="auto"/>
          </w:divBdr>
        </w:div>
        <w:div w:id="726804692">
          <w:marLeft w:val="480"/>
          <w:marRight w:val="0"/>
          <w:marTop w:val="0"/>
          <w:marBottom w:val="0"/>
          <w:divBdr>
            <w:top w:val="none" w:sz="0" w:space="0" w:color="auto"/>
            <w:left w:val="none" w:sz="0" w:space="0" w:color="auto"/>
            <w:bottom w:val="none" w:sz="0" w:space="0" w:color="auto"/>
            <w:right w:val="none" w:sz="0" w:space="0" w:color="auto"/>
          </w:divBdr>
        </w:div>
        <w:div w:id="1323893704">
          <w:marLeft w:val="480"/>
          <w:marRight w:val="0"/>
          <w:marTop w:val="0"/>
          <w:marBottom w:val="0"/>
          <w:divBdr>
            <w:top w:val="none" w:sz="0" w:space="0" w:color="auto"/>
            <w:left w:val="none" w:sz="0" w:space="0" w:color="auto"/>
            <w:bottom w:val="none" w:sz="0" w:space="0" w:color="auto"/>
            <w:right w:val="none" w:sz="0" w:space="0" w:color="auto"/>
          </w:divBdr>
        </w:div>
        <w:div w:id="455370760">
          <w:marLeft w:val="480"/>
          <w:marRight w:val="0"/>
          <w:marTop w:val="0"/>
          <w:marBottom w:val="0"/>
          <w:divBdr>
            <w:top w:val="none" w:sz="0" w:space="0" w:color="auto"/>
            <w:left w:val="none" w:sz="0" w:space="0" w:color="auto"/>
            <w:bottom w:val="none" w:sz="0" w:space="0" w:color="auto"/>
            <w:right w:val="none" w:sz="0" w:space="0" w:color="auto"/>
          </w:divBdr>
        </w:div>
        <w:div w:id="824509334">
          <w:marLeft w:val="480"/>
          <w:marRight w:val="0"/>
          <w:marTop w:val="0"/>
          <w:marBottom w:val="0"/>
          <w:divBdr>
            <w:top w:val="none" w:sz="0" w:space="0" w:color="auto"/>
            <w:left w:val="none" w:sz="0" w:space="0" w:color="auto"/>
            <w:bottom w:val="none" w:sz="0" w:space="0" w:color="auto"/>
            <w:right w:val="none" w:sz="0" w:space="0" w:color="auto"/>
          </w:divBdr>
        </w:div>
        <w:div w:id="642005052">
          <w:marLeft w:val="480"/>
          <w:marRight w:val="0"/>
          <w:marTop w:val="0"/>
          <w:marBottom w:val="0"/>
          <w:divBdr>
            <w:top w:val="none" w:sz="0" w:space="0" w:color="auto"/>
            <w:left w:val="none" w:sz="0" w:space="0" w:color="auto"/>
            <w:bottom w:val="none" w:sz="0" w:space="0" w:color="auto"/>
            <w:right w:val="none" w:sz="0" w:space="0" w:color="auto"/>
          </w:divBdr>
        </w:div>
      </w:divsChild>
    </w:div>
    <w:div w:id="1644965200">
      <w:bodyDiv w:val="1"/>
      <w:marLeft w:val="0"/>
      <w:marRight w:val="0"/>
      <w:marTop w:val="0"/>
      <w:marBottom w:val="0"/>
      <w:divBdr>
        <w:top w:val="none" w:sz="0" w:space="0" w:color="auto"/>
        <w:left w:val="none" w:sz="0" w:space="0" w:color="auto"/>
        <w:bottom w:val="none" w:sz="0" w:space="0" w:color="auto"/>
        <w:right w:val="none" w:sz="0" w:space="0" w:color="auto"/>
      </w:divBdr>
    </w:div>
    <w:div w:id="1658923011">
      <w:bodyDiv w:val="1"/>
      <w:marLeft w:val="0"/>
      <w:marRight w:val="0"/>
      <w:marTop w:val="0"/>
      <w:marBottom w:val="0"/>
      <w:divBdr>
        <w:top w:val="none" w:sz="0" w:space="0" w:color="auto"/>
        <w:left w:val="none" w:sz="0" w:space="0" w:color="auto"/>
        <w:bottom w:val="none" w:sz="0" w:space="0" w:color="auto"/>
        <w:right w:val="none" w:sz="0" w:space="0" w:color="auto"/>
      </w:divBdr>
    </w:div>
    <w:div w:id="1665694407">
      <w:bodyDiv w:val="1"/>
      <w:marLeft w:val="0"/>
      <w:marRight w:val="0"/>
      <w:marTop w:val="0"/>
      <w:marBottom w:val="0"/>
      <w:divBdr>
        <w:top w:val="none" w:sz="0" w:space="0" w:color="auto"/>
        <w:left w:val="none" w:sz="0" w:space="0" w:color="auto"/>
        <w:bottom w:val="none" w:sz="0" w:space="0" w:color="auto"/>
        <w:right w:val="none" w:sz="0" w:space="0" w:color="auto"/>
      </w:divBdr>
    </w:div>
    <w:div w:id="1675765365">
      <w:bodyDiv w:val="1"/>
      <w:marLeft w:val="0"/>
      <w:marRight w:val="0"/>
      <w:marTop w:val="0"/>
      <w:marBottom w:val="0"/>
      <w:divBdr>
        <w:top w:val="none" w:sz="0" w:space="0" w:color="auto"/>
        <w:left w:val="none" w:sz="0" w:space="0" w:color="auto"/>
        <w:bottom w:val="none" w:sz="0" w:space="0" w:color="auto"/>
        <w:right w:val="none" w:sz="0" w:space="0" w:color="auto"/>
      </w:divBdr>
    </w:div>
    <w:div w:id="1720863784">
      <w:bodyDiv w:val="1"/>
      <w:marLeft w:val="0"/>
      <w:marRight w:val="0"/>
      <w:marTop w:val="0"/>
      <w:marBottom w:val="0"/>
      <w:divBdr>
        <w:top w:val="none" w:sz="0" w:space="0" w:color="auto"/>
        <w:left w:val="none" w:sz="0" w:space="0" w:color="auto"/>
        <w:bottom w:val="none" w:sz="0" w:space="0" w:color="auto"/>
        <w:right w:val="none" w:sz="0" w:space="0" w:color="auto"/>
      </w:divBdr>
    </w:div>
    <w:div w:id="1770587701">
      <w:bodyDiv w:val="1"/>
      <w:marLeft w:val="0"/>
      <w:marRight w:val="0"/>
      <w:marTop w:val="0"/>
      <w:marBottom w:val="0"/>
      <w:divBdr>
        <w:top w:val="none" w:sz="0" w:space="0" w:color="auto"/>
        <w:left w:val="none" w:sz="0" w:space="0" w:color="auto"/>
        <w:bottom w:val="none" w:sz="0" w:space="0" w:color="auto"/>
        <w:right w:val="none" w:sz="0" w:space="0" w:color="auto"/>
      </w:divBdr>
    </w:div>
    <w:div w:id="1799906839">
      <w:bodyDiv w:val="1"/>
      <w:marLeft w:val="0"/>
      <w:marRight w:val="0"/>
      <w:marTop w:val="0"/>
      <w:marBottom w:val="0"/>
      <w:divBdr>
        <w:top w:val="none" w:sz="0" w:space="0" w:color="auto"/>
        <w:left w:val="none" w:sz="0" w:space="0" w:color="auto"/>
        <w:bottom w:val="none" w:sz="0" w:space="0" w:color="auto"/>
        <w:right w:val="none" w:sz="0" w:space="0" w:color="auto"/>
      </w:divBdr>
    </w:div>
    <w:div w:id="1811751654">
      <w:bodyDiv w:val="1"/>
      <w:marLeft w:val="0"/>
      <w:marRight w:val="0"/>
      <w:marTop w:val="0"/>
      <w:marBottom w:val="0"/>
      <w:divBdr>
        <w:top w:val="none" w:sz="0" w:space="0" w:color="auto"/>
        <w:left w:val="none" w:sz="0" w:space="0" w:color="auto"/>
        <w:bottom w:val="none" w:sz="0" w:space="0" w:color="auto"/>
        <w:right w:val="none" w:sz="0" w:space="0" w:color="auto"/>
      </w:divBdr>
    </w:div>
    <w:div w:id="1844665526">
      <w:bodyDiv w:val="1"/>
      <w:marLeft w:val="0"/>
      <w:marRight w:val="0"/>
      <w:marTop w:val="0"/>
      <w:marBottom w:val="0"/>
      <w:divBdr>
        <w:top w:val="none" w:sz="0" w:space="0" w:color="auto"/>
        <w:left w:val="none" w:sz="0" w:space="0" w:color="auto"/>
        <w:bottom w:val="none" w:sz="0" w:space="0" w:color="auto"/>
        <w:right w:val="none" w:sz="0" w:space="0" w:color="auto"/>
      </w:divBdr>
    </w:div>
    <w:div w:id="1844666638">
      <w:bodyDiv w:val="1"/>
      <w:marLeft w:val="0"/>
      <w:marRight w:val="0"/>
      <w:marTop w:val="0"/>
      <w:marBottom w:val="0"/>
      <w:divBdr>
        <w:top w:val="none" w:sz="0" w:space="0" w:color="auto"/>
        <w:left w:val="none" w:sz="0" w:space="0" w:color="auto"/>
        <w:bottom w:val="none" w:sz="0" w:space="0" w:color="auto"/>
        <w:right w:val="none" w:sz="0" w:space="0" w:color="auto"/>
      </w:divBdr>
    </w:div>
    <w:div w:id="1844734628">
      <w:bodyDiv w:val="1"/>
      <w:marLeft w:val="0"/>
      <w:marRight w:val="0"/>
      <w:marTop w:val="0"/>
      <w:marBottom w:val="0"/>
      <w:divBdr>
        <w:top w:val="none" w:sz="0" w:space="0" w:color="auto"/>
        <w:left w:val="none" w:sz="0" w:space="0" w:color="auto"/>
        <w:bottom w:val="none" w:sz="0" w:space="0" w:color="auto"/>
        <w:right w:val="none" w:sz="0" w:space="0" w:color="auto"/>
      </w:divBdr>
    </w:div>
    <w:div w:id="1876037929">
      <w:bodyDiv w:val="1"/>
      <w:marLeft w:val="0"/>
      <w:marRight w:val="0"/>
      <w:marTop w:val="0"/>
      <w:marBottom w:val="0"/>
      <w:divBdr>
        <w:top w:val="none" w:sz="0" w:space="0" w:color="auto"/>
        <w:left w:val="none" w:sz="0" w:space="0" w:color="auto"/>
        <w:bottom w:val="none" w:sz="0" w:space="0" w:color="auto"/>
        <w:right w:val="none" w:sz="0" w:space="0" w:color="auto"/>
      </w:divBdr>
    </w:div>
    <w:div w:id="1948077498">
      <w:bodyDiv w:val="1"/>
      <w:marLeft w:val="0"/>
      <w:marRight w:val="0"/>
      <w:marTop w:val="0"/>
      <w:marBottom w:val="0"/>
      <w:divBdr>
        <w:top w:val="none" w:sz="0" w:space="0" w:color="auto"/>
        <w:left w:val="none" w:sz="0" w:space="0" w:color="auto"/>
        <w:bottom w:val="none" w:sz="0" w:space="0" w:color="auto"/>
        <w:right w:val="none" w:sz="0" w:space="0" w:color="auto"/>
      </w:divBdr>
    </w:div>
    <w:div w:id="1949965425">
      <w:bodyDiv w:val="1"/>
      <w:marLeft w:val="0"/>
      <w:marRight w:val="0"/>
      <w:marTop w:val="0"/>
      <w:marBottom w:val="0"/>
      <w:divBdr>
        <w:top w:val="none" w:sz="0" w:space="0" w:color="auto"/>
        <w:left w:val="none" w:sz="0" w:space="0" w:color="auto"/>
        <w:bottom w:val="none" w:sz="0" w:space="0" w:color="auto"/>
        <w:right w:val="none" w:sz="0" w:space="0" w:color="auto"/>
      </w:divBdr>
    </w:div>
    <w:div w:id="1958247816">
      <w:bodyDiv w:val="1"/>
      <w:marLeft w:val="0"/>
      <w:marRight w:val="0"/>
      <w:marTop w:val="0"/>
      <w:marBottom w:val="0"/>
      <w:divBdr>
        <w:top w:val="none" w:sz="0" w:space="0" w:color="auto"/>
        <w:left w:val="none" w:sz="0" w:space="0" w:color="auto"/>
        <w:bottom w:val="none" w:sz="0" w:space="0" w:color="auto"/>
        <w:right w:val="none" w:sz="0" w:space="0" w:color="auto"/>
      </w:divBdr>
    </w:div>
    <w:div w:id="1979333306">
      <w:bodyDiv w:val="1"/>
      <w:marLeft w:val="0"/>
      <w:marRight w:val="0"/>
      <w:marTop w:val="0"/>
      <w:marBottom w:val="0"/>
      <w:divBdr>
        <w:top w:val="none" w:sz="0" w:space="0" w:color="auto"/>
        <w:left w:val="none" w:sz="0" w:space="0" w:color="auto"/>
        <w:bottom w:val="none" w:sz="0" w:space="0" w:color="auto"/>
        <w:right w:val="none" w:sz="0" w:space="0" w:color="auto"/>
      </w:divBdr>
    </w:div>
    <w:div w:id="1992901897">
      <w:bodyDiv w:val="1"/>
      <w:marLeft w:val="0"/>
      <w:marRight w:val="0"/>
      <w:marTop w:val="0"/>
      <w:marBottom w:val="0"/>
      <w:divBdr>
        <w:top w:val="none" w:sz="0" w:space="0" w:color="auto"/>
        <w:left w:val="none" w:sz="0" w:space="0" w:color="auto"/>
        <w:bottom w:val="none" w:sz="0" w:space="0" w:color="auto"/>
        <w:right w:val="none" w:sz="0" w:space="0" w:color="auto"/>
      </w:divBdr>
    </w:div>
    <w:div w:id="2031835035">
      <w:bodyDiv w:val="1"/>
      <w:marLeft w:val="0"/>
      <w:marRight w:val="0"/>
      <w:marTop w:val="0"/>
      <w:marBottom w:val="0"/>
      <w:divBdr>
        <w:top w:val="none" w:sz="0" w:space="0" w:color="auto"/>
        <w:left w:val="none" w:sz="0" w:space="0" w:color="auto"/>
        <w:bottom w:val="none" w:sz="0" w:space="0" w:color="auto"/>
        <w:right w:val="none" w:sz="0" w:space="0" w:color="auto"/>
      </w:divBdr>
    </w:div>
    <w:div w:id="2033802201">
      <w:bodyDiv w:val="1"/>
      <w:marLeft w:val="0"/>
      <w:marRight w:val="0"/>
      <w:marTop w:val="0"/>
      <w:marBottom w:val="0"/>
      <w:divBdr>
        <w:top w:val="none" w:sz="0" w:space="0" w:color="auto"/>
        <w:left w:val="none" w:sz="0" w:space="0" w:color="auto"/>
        <w:bottom w:val="none" w:sz="0" w:space="0" w:color="auto"/>
        <w:right w:val="none" w:sz="0" w:space="0" w:color="auto"/>
      </w:divBdr>
    </w:div>
    <w:div w:id="2086023278">
      <w:bodyDiv w:val="1"/>
      <w:marLeft w:val="0"/>
      <w:marRight w:val="0"/>
      <w:marTop w:val="0"/>
      <w:marBottom w:val="0"/>
      <w:divBdr>
        <w:top w:val="none" w:sz="0" w:space="0" w:color="auto"/>
        <w:left w:val="none" w:sz="0" w:space="0" w:color="auto"/>
        <w:bottom w:val="none" w:sz="0" w:space="0" w:color="auto"/>
        <w:right w:val="none" w:sz="0" w:space="0" w:color="auto"/>
      </w:divBdr>
    </w:div>
    <w:div w:id="2112046544">
      <w:bodyDiv w:val="1"/>
      <w:marLeft w:val="0"/>
      <w:marRight w:val="0"/>
      <w:marTop w:val="0"/>
      <w:marBottom w:val="0"/>
      <w:divBdr>
        <w:top w:val="none" w:sz="0" w:space="0" w:color="auto"/>
        <w:left w:val="none" w:sz="0" w:space="0" w:color="auto"/>
        <w:bottom w:val="none" w:sz="0" w:space="0" w:color="auto"/>
        <w:right w:val="none" w:sz="0" w:space="0" w:color="auto"/>
      </w:divBdr>
    </w:div>
    <w:div w:id="2124956271">
      <w:bodyDiv w:val="1"/>
      <w:marLeft w:val="0"/>
      <w:marRight w:val="0"/>
      <w:marTop w:val="0"/>
      <w:marBottom w:val="0"/>
      <w:divBdr>
        <w:top w:val="none" w:sz="0" w:space="0" w:color="auto"/>
        <w:left w:val="none" w:sz="0" w:space="0" w:color="auto"/>
        <w:bottom w:val="none" w:sz="0" w:space="0" w:color="auto"/>
        <w:right w:val="none" w:sz="0" w:space="0" w:color="auto"/>
      </w:divBdr>
    </w:div>
    <w:div w:id="2130582999">
      <w:bodyDiv w:val="1"/>
      <w:marLeft w:val="0"/>
      <w:marRight w:val="0"/>
      <w:marTop w:val="0"/>
      <w:marBottom w:val="0"/>
      <w:divBdr>
        <w:top w:val="none" w:sz="0" w:space="0" w:color="auto"/>
        <w:left w:val="none" w:sz="0" w:space="0" w:color="auto"/>
        <w:bottom w:val="none" w:sz="0" w:space="0" w:color="auto"/>
        <w:right w:val="none" w:sz="0" w:space="0" w:color="auto"/>
      </w:divBdr>
    </w:div>
    <w:div w:id="21337415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irfanmusonif04@gmail.com"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6FFB5E50-DFF4-F74B-B13A-51C0E5CCF98D}"/>
      </w:docPartPr>
      <w:docPartBody>
        <w:p w:rsidR="005A3FEA" w:rsidRDefault="00345386">
          <w:r w:rsidRPr="007338F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386"/>
    <w:rsid w:val="000A1CF7"/>
    <w:rsid w:val="00345386"/>
    <w:rsid w:val="005A3FEA"/>
    <w:rsid w:val="009D1EBC"/>
    <w:rsid w:val="00C81F82"/>
    <w:rsid w:val="00F171BC"/>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45386"/>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99D1EFF-181B-9349-9857-4D10DC35A9D9}">
  <we:reference id="wa104382081" version="1.55.1.0" store="en-US" storeType="OMEX"/>
  <we:alternateReferences>
    <we:reference id="wa104382081" version="1.55.1.0" store="WA104382081" storeType="OMEX"/>
  </we:alternateReferences>
  <we:properties>
    <we:property name="MENDELEY_BIBLIOGRAPHY_IS_DIRTY" value="true"/>
    <we:property name="MENDELEY_BIBLIOGRAPHY_LAST_MODIFIED" value="1776340486389"/>
    <we:property name="MENDELEY_CITATIONS" value="[{&quot;citationID&quot;:&quot;MENDELEY_CITATION_5037bec2-0cdc-49b7-a787-30c72428a218&quot;,&quot;properties&quot;:{&quot;noteIndex&quot;:0},&quot;isEdited&quot;:false,&quot;manualOverride&quot;:{&quot;isManuallyOverridden&quot;:false,&quot;citeprocText&quot;:&quot;(Auerbach &amp;#38; Gorodnichenko, 2020; Musonif, Romadona, et al., 2026)&quot;,&quot;manualOverrideText&quot;:&quot;&quot;},&quot;citationTag&quot;:&quot;MENDELEY_CITATION_v3_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&quot;,&quot;citationItems&quot;:[{&quot;id&quot;:&quot;1f569bdd-7172-3246-8207-81295d550c04&quot;,&quot;itemData&quot;:{&quot;type&quot;:&quot;article-journal&quot;,&quot;id&quot;:&quot;1f569bdd-7172-3246-8207-81295d550c04&quot;,&quot;title&quot;:&quot;Fiscal policy and output stabilization&quot;,&quot;author&quot;:[{&quot;family&quot;:&quot;Auerbach&quot;,&quot;given&quot;:&quot;A J&quot;,&quot;parse-names&quot;:false,&quot;dropping-particle&quot;:&quot;&quot;,&quot;non-dropping-particle&quot;:&quot;&quot;},{&quot;family&quot;:&quot;Gorodnichenko&quot;,&quot;given&quot;:&quot;Y&quot;,&quot;parse-names&quot;:false,&quot;dropping-particle&quot;:&quot;&quot;,&quot;non-dropping-particle&quot;:&quot;&quot;}],&quot;container-title&quot;:&quot;American Economic Journal: Economic Policy&quot;,&quot;container-title-short&quot;:&quot;Am. Econ. J. Econ. Policy&quot;,&quot;DOI&quot;:&quot;10.1257/pol.20170341&quot;,&quot;issued&quot;:{&quot;date-parts&quot;:[[2020]]},&quot;page&quot;:&quot;1-34&quot;,&quot;issue&quot;:&quot;2&quot;,&quot;volume&quot;:&quot;12&quot;},&quot;isTemporary&quot;:false},{&quot;id&quot;:&quot;1b412787-ea7c-38bd-b578-9faf82026969&quot;,&quot;itemData&quot;:{&quot;type&quot;:&quot;article-journal&quot;,&quot;id&quot;:&quot;1b412787-ea7c-38bd-b578-9faf82026969&quot;,&quot;title&quot;:&quot;Integrating Multiple Intelligences in Problem-Solving Approaches to Enhance Fiqh Learning for Middle School Students&quot;,&quot;author&quot;:[{&quot;family&quot;:&quot;Musonif&quot;,&quot;given&quot;:&quot;Irfan&quot;,&quot;parse-names&quot;:false,&quot;dropping-particle&quot;:&quot;&quot;,&quot;non-dropping-particle&quot;:&quot;&quot;},{&quot;family&quot;:&quot;Romadona&quot;,&quot;given&quot;:&quot;Mahin Anas&quot;,&quot;parse-names&quot;:false,&quot;dropping-particle&quot;:&quot;&quot;,&quot;non-dropping-particle&quot;:&quot;&quot;},{&quot;family&quot;:&quot;Fatah&quot;,&quot;given&quot;:&quot;Minan Ainur&quot;,&quot;parse-names&quot;:false,&quot;dropping-particle&quot;:&quot;&quot;,&quot;non-dropping-particle&quot;:&quot;&quot;},{&quot;family&quot;:&quot;Zaman&quot;,&quot;given&quot;:&quot;Muhammad Fakhriz&quot;,&quot;parse-names&quot;:false,&quot;dropping-particle&quot;:&quot;&quot;,&quot;non-dropping-particle&quot;:&quot;&quot;},{&quot;family&quot;:&quot;Azis&quot;,&quot;given&quot;:&quot;Khoirul&quot;,&quot;parse-names&quot;:false,&quot;dropping-particle&quot;:&quot;&quot;,&quot;non-dropping-particle&quot;:&quot;&quot;},{&quot;family&quot;:&quot;Nasrin&quot;,&quot;given&quot;:&quot;Samima&quot;,&quot;parse-names&quot;:false,&quot;dropping-particle&quot;:&quot;&quot;,&quot;non-dropping-particle&quot;:&quot;&quot;}],&quot;container-title&quot;:&quot;Al-Tadzkiyyah: Jurnal Pendidikan Islam&quot;,&quot;DOI&quot;:&quot;https://doi.org/10.24042/atjpi.v17i1.30145&quot;,&quot;issued&quot;:{&quot;date-parts&quot;:[[2026]]},&quot;page&quot;:&quot;1-15&quot;,&quot;issue&quot;:&quot;1&quot;,&quot;volume&quot;:&quot;17&quot;,&quot;container-title-short&quot;:&quot;&quot;},&quot;isTemporary&quot;:false}]},{&quot;citationID&quot;:&quot;MENDELEY_CITATION_c643a24c-aa74-479c-9b2f-a857e47e3576&quot;,&quot;properties&quot;:{&quot;noteIndex&quot;:0},&quot;isEdited&quot;:false,&quot;manualOverride&quot;:{&quot;isManuallyOverridden&quot;:false,&quot;citeprocText&quot;:&quot;(Chancel, 2022)&quot;,&quot;manualOverrideText&quot;:&quot;&quot;},&quot;citationTag&quot;:&quot;MENDELEY_CITATION_v3_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&quot;,&quot;citationItems&quot;:[{&quot;id&quot;:&quot;9348aef4-48f1-34b7-a8c3-693a4d9b3dcd&quot;,&quot;itemData&quot;:{&quot;type&quot;:&quot;report&quot;,&quot;id&quot;:&quot;9348aef4-48f1-34b7-a8c3-693a4d9b3dcd&quot;,&quot;title&quot;:&quot;World Inequality Report 2022&quot;,&quot;author&quot;:[{&quot;family&quot;:&quot;Chancel&quot;,&quot;given&quot;:&quot;L&quot;,&quot;parse-names&quot;:false,&quot;dropping-particle&quot;:&quot;&quot;,&quot;non-dropping-particle&quot;:&quot;&quot;}],&quot;URL&quot;:&quot;https://wir2022.wid.world&quot;,&quot;issued&quot;:{&quot;date-parts&quot;:[[2022]]},&quot;container-title-short&quot;:&quot;&quot;},&quot;isTemporary&quot;:false}]},{&quot;citationID&quot;:&quot;MENDELEY_CITATION_11375cce-90d7-4bdd-8263-29041d25c18f&quot;,&quot;properties&quot;:{&quot;noteIndex&quot;:0},&quot;isEdited&quot;:false,&quot;manualOverride&quot;:{&quot;isManuallyOverridden&quot;:false,&quot;citeprocText&quot;:&quot;(Stiglitz, 2021)&quot;,&quot;manualOverrideText&quot;:&quot;&quot;},&quot;citationTag&quot;:&quot;MENDELEY_CITATION_v3_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&quot;,&quot;citationItems&quot;:[{&quot;id&quot;:&quot;7b33aee1-7811-3d6f-bf84-afe56c812f24&quot;,&quot;itemData&quot;:{&quot;type&quot;:&quot;article-journal&quot;,&quot;id&quot;:&quot;7b33aee1-7811-3d6f-bf84-afe56c812f24&quot;,&quot;title&quot;:&quot;Income inequality and fiscal policy&quot;,&quot;author&quot;:[{&quot;family&quot;:&quot;Stiglitz&quot;,&quot;given&quot;:&quot;J E&quot;,&quot;parse-names&quot;:false,&quot;dropping-particle&quot;:&quot;&quot;,&quot;non-dropping-particle&quot;:&quot;&quot;}],&quot;container-title&quot;:&quot;Oxford Review of Economic Policy&quot;,&quot;container-title-short&quot;:&quot;Oxf. Rev. Econ. Policy&quot;,&quot;DOI&quot;:&quot;10.1093/oxrep/grab031&quot;,&quot;issued&quot;:{&quot;date-parts&quot;:[[2021]]},&quot;page&quot;:&quot;629-647&quot;,&quot;issue&quot;:&quot;4&quot;,&quot;volume&quot;:&quot;37&quot;},&quot;isTemporary&quot;:false}]},{&quot;citationID&quot;:&quot;MENDELEY_CITATION_ce131a00-0274-44ed-b01a-ce87e87f6468&quot;,&quot;properties&quot;:{&quot;noteIndex&quot;:0},&quot;isEdited&quot;:false,&quot;manualOverride&quot;:{&quot;isManuallyOverridden&quot;:false,&quot;citeprocText&quot;:&quot;(Bird &amp;#38; Zolt, 2021)&quot;,&quot;manualOverrideText&quot;:&quot;&quot;},&quot;citationTag&quot;:&quot;MENDELEY_CITATION_v3_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&quot;,&quot;citationItems&quot;:[{&quot;id&quot;:&quot;af95a909-bd56-3488-b285-8dceab63975c&quot;,&quot;itemData&quot;:{&quot;type&quot;:&quot;article-journal&quot;,&quot;id&quot;:&quot;af95a909-bd56-3488-b285-8dceab63975c&quot;,&quot;title&quot;:&quot;Taxation and inequality in the 21st century&quot;,&quot;author&quot;:[{&quot;family&quot;:&quot;Bird&quot;,&quot;given&quot;:&quot;R M&quot;,&quot;parse-names&quot;:false,&quot;dropping-particle&quot;:&quot;&quot;,&quot;non-dropping-particle&quot;:&quot;&quot;},{&quot;family&quot;:&quot;Zolt&quot;,&quot;given&quot;:&quot;E M&quot;,&quot;parse-names&quot;:false,&quot;dropping-particle&quot;:&quot;&quot;,&quot;non-dropping-particle&quot;:&quot;&quot;}],&quot;container-title&quot;:&quot;World Development&quot;,&quot;container-title-short&quot;:&quot;World Dev.&quot;,&quot;DOI&quot;:&quot;10.1016/j.worlddev.2020.105123&quot;,&quot;issued&quot;:{&quot;date-parts&quot;:[[2021]]},&quot;page&quot;:&quot;105123&quot;,&quot;volume&quot;:&quot;142&quot;},&quot;isTemporary&quot;:false}]},{&quot;citationID&quot;:&quot;MENDELEY_CITATION_4283151b-169f-4bee-94d7-f4a608127da0&quot;,&quot;properties&quot;:{&quot;noteIndex&quot;:0},&quot;isEdited&quot;:false,&quot;manualOverride&quot;:{&quot;isManuallyOverridden&quot;:false,&quot;citeprocText&quot;:&quot;(Ascarya, 2022)&quot;,&quot;manualOverrideText&quot;:&quot;&quot;},&quot;citationTag&quot;:&quot;MENDELEY_CITATION_v3_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&quot;,&quot;citationItems&quot;:[{&quot;id&quot;:&quot;d5265cf1-142a-319b-9dfb-08b9836c4363&quot;,&quot;itemData&quot;:{&quot;type&quot;:&quot;article-journal&quot;,&quot;id&quot;:&quot;d5265cf1-142a-319b-9dfb-08b9836c4363&quot;,&quot;title&quot;:&quot;The role of Islamic social finance in achieving SDGs&quot;,&quot;author&quot;:[{&quot;family&quot;:&quot;Ascarya&quot;,&quot;given&quot;:&quot;&quot;,&quot;parse-names&quot;:false,&quot;dropping-particle&quot;:&quot;&quot;,&quot;non-dropping-particle&quot;:&quot;&quot;}],&quot;container-title&quot;:&quot;Journal of Islamic Monetary Economics and Finance&quot;,&quot;DOI&quot;:&quot;10.21098/jimf.v8i2.1523&quot;,&quot;issued&quot;:{&quot;date-parts&quot;:[[2022]]},&quot;page&quot;:&quot;185-210&quot;,&quot;issue&quot;:&quot;2&quot;,&quot;volume&quot;:&quot;8&quot;,&quot;container-title-short&quot;:&quot;&quot;},&quot;isTemporary&quot;:false}]},{&quot;citationID&quot;:&quot;MENDELEY_CITATION_5d3721e2-a1c2-4ad8-92f1-e54d94fc65b5&quot;,&quot;properties&quot;:{&quot;noteIndex&quot;:0},&quot;isEdited&quot;:false,&quot;manualOverride&quot;:{&quot;isManuallyOverridden&quot;:false,&quot;citeprocText&quot;:&quot;((BAZNAS), 2023)&quot;,&quot;manualOverrideText&quot;:&quot;&quot;},&quot;citationTag&quot;:&quot;MENDELEY_CITATION_v3_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&quot;,&quot;citationItems&quot;:[{&quot;id&quot;:&quot;15ef94fa-603f-372e-92cc-9825bac0af67&quot;,&quot;itemData&quot;:{&quot;type&quot;:&quot;report&quot;,&quot;id&quot;:&quot;15ef94fa-603f-372e-92cc-9825bac0af67&quot;,&quot;title&quot;:&quot;Outlook Zakat Indonesia 2023&quot;,&quot;author&quot;:[{&quot;family&quot;:&quot;(BAZNAS)&quot;,&quot;given&quot;:&quot;Badan Amil Zakat Nasional&quot;,&quot;parse-names&quot;:false,&quot;dropping-particle&quot;:&quot;&quot;,&quot;non-dropping-particle&quot;:&quot;&quot;}],&quot;URL&quot;:&quot;https://baznas.go.id&quot;,&quot;issued&quot;:{&quot;date-parts&quot;:[[2023]]},&quot;container-title-short&quot;:&quot;&quot;},&quot;isTemporary&quot;:false}]},{&quot;citationID&quot;:&quot;MENDELEY_CITATION_99dc672c-dc79-48dd-a0c6-4093add1fbe7&quot;,&quot;properties&quot;:{&quot;noteIndex&quot;:0,&quot;mode&quot;:&quot;suppress-author&quot;},&quot;isEdited&quot;:false,&quot;manualOverride&quot;:{&quot;isManuallyOverridden&quot;:false,&quot;citeprocText&quot;:&quot;(2022)&quot;,&quot;manualOverrideText&quot;:&quot;&quot;},&quot;citationTag&quot;:&quot;MENDELEY_CITATION_v3_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&quot;,&quot;citationItems&quot;:[{&quot;id&quot;:&quot;71d5f642-2b34-3919-a03d-4e5e325cd40e&quot;,&quot;itemData&quot;:{&quot;type&quot;:&quot;article-journal&quot;,&quot;id&quot;:&quot;71d5f642-2b34-3919-a03d-4e5e325cd40e&quot;,&quot;title&quot;:&quot;Challenges for the Islamic finance and banking in post COVID era&quot;,&quot;author&quot;:[{&quot;family&quot;:&quot;Hassan&quot;,&quot;given&quot;:&quot;M K&quot;,&quot;parse-names&quot;:false,&quot;dropping-particle&quot;:&quot;&quot;,&quot;non-dropping-particle&quot;:&quot;&quot;},{&quot;family&quot;:&quot;Rabbani&quot;,&quot;given&quot;:&quot;M R&quot;,&quot;parse-names&quot;:false,&quot;dropping-particle&quot;:&quot;&quot;,&quot;non-dropping-particle&quot;:&quot;&quot;},{&quot;family&quot;:&quot;Ali&quot;,&quot;given&quot;:&quot;M A M&quot;,&quot;parse-names&quot;:false,&quot;dropping-particle&quot;:&quot;&quot;,&quot;non-dropping-particle&quot;:&quot;&quot;}],&quot;container-title&quot;:&quot;Pacific-Basin Finance Journal&quot;,&quot;DOI&quot;:&quot;10.1016/j.pacfin.2022.101786&quot;,&quot;issued&quot;:{&quot;date-parts&quot;:[[2022]]},&quot;page&quot;:&quot;101786&quot;,&quot;volume&quot;:&quot;73&quot;,&quot;container-title-short&quot;:&quot;&quot;},&quot;isTemporary&quot;:false,&quot;displayAs&quot;:&quot;suppress-author&quot;,&quot;suppress-author&quot;:true,&quot;composite&quot;:false,&quot;author-only&quot;:false}]},{&quot;citationID&quot;:&quot;MENDELEY_CITATION_c19d5882-73bd-4f7c-809d-9dab78f3d32a&quot;,&quot;properties&quot;:{&quot;noteIndex&quot;:0,&quot;mode&quot;:&quot;suppress-author&quot;},&quot;isEdited&quot;:false,&quot;manualOverride&quot;:{&quot;isManuallyOverridden&quot;:false,&quot;citeprocText&quot;:&quot;(2021)&quot;,&quot;manualOverrideText&quot;:&quot;&quot;},&quot;citationTag&quot;:&quot;MENDELEY_CITATION_v3_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&quot;,&quot;citationItems&quot;:[{&quot;id&quot;:&quot;a03651c1-481d-37be-bab4-46bc94d8305b&quot;,&quot;itemData&quot;:{&quot;type&quot;:&quot;article-journal&quot;,&quot;id&quot;:&quot;a03651c1-481d-37be-bab4-46bc94d8305b&quot;,&quot;title&quot;:&quot;Islamic fiscal policy review&quot;,&quot;author&quot;:[{&quot;family&quot;:&quot;Thaker&quot;,&quot;given&quot;:&quot;H M T&quot;,&quot;parse-names&quot;:false,&quot;dropping-particle&quot;:&quot;&quot;,&quot;non-dropping-particle&quot;:&quot;&quot;}],&quot;container-title&quot;:&quot;Journal of Islamic Economics&quot;,&quot;issued&quot;:{&quot;date-parts&quot;:[[2021]]},&quot;container-title-short&quot;:&quot;&quot;},&quot;isTemporary&quot;:false,&quot;displayAs&quot;:&quot;suppress-author&quot;,&quot;suppress-author&quot;:true,&quot;composite&quot;:false,&quot;author-only&quot;:false}]},{&quot;citationID&quot;:&quot;MENDELEY_CITATION_55c2e32e-fba3-4dbb-b1a7-9faa5830c5c0&quot;,&quot;properties&quot;:{&quot;noteIndex&quot;:0},&quot;isEdited&quot;:false,&quot;manualOverride&quot;:{&quot;isManuallyOverridden&quot;:false,&quot;citeprocText&quot;:&quot;(Auerbach &amp;#38; Gorodnichenko, 2020; Musonif, Baeti, et al., 2026)&quot;,&quot;manualOverrideText&quot;:&quot;&quot;},&quot;citationItems&quot;:[{&quot;id&quot;:&quot;1f569bdd-7172-3246-8207-81295d550c04&quot;,&quot;itemData&quot;:{&quot;type&quot;:&quot;article-journal&quot;,&quot;id&quot;:&quot;1f569bdd-7172-3246-8207-81295d550c04&quot;,&quot;title&quot;:&quot;Fiscal policy and output stabilization&quot;,&quot;author&quot;:[{&quot;family&quot;:&quot;Auerbach&quot;,&quot;given&quot;:&quot;A J&quot;,&quot;parse-names&quot;:false,&quot;dropping-particle&quot;:&quot;&quot;,&quot;non-dropping-particle&quot;:&quot;&quot;},{&quot;family&quot;:&quot;Gorodnichenko&quot;,&quot;given&quot;:&quot;Y&quot;,&quot;parse-names&quot;:false,&quot;dropping-particle&quot;:&quot;&quot;,&quot;non-dropping-particle&quot;:&quot;&quot;}],&quot;container-title&quot;:&quot;American Economic Journal: Economic Policy&quot;,&quot;container-title-short&quot;:&quot;Am. Econ. J. Econ. Policy&quot;,&quot;DOI&quot;:&quot;10.1257/pol.20170341&quot;,&quot;issued&quot;:{&quot;date-parts&quot;:[[2020]]},&quot;page&quot;:&quot;1-34&quot;,&quot;issue&quot;:&quot;2&quot;,&quot;volume&quot;:&quot;12&quot;},&quot;isTemporary&quot;:false},{&quot;id&quot;:&quot;1cc19c67-7570-3ccb-96d2-fd6dc51c1498&quot;,&quot;itemData&quot;:{&quot;type&quot;:&quot;article-journal&quot;,&quot;id&quot;:&quot;1cc19c67-7570-3ccb-96d2-fd6dc51c1498&quot;,&quot;title&quot;:&quot;RELIGIOUS HABITUS FORMATION THROUGH MADRASAH-PESANTREN COLLABORATION: A SOCIOLOGICAL ANALYSIS&quot;,&quot;author&quot;:[{&quot;family&quot;:&quot;Musonif&quot;,&quot;given&quot;:&quot;Irfan&quot;,&quot;parse-names&quot;:false,&quot;dropping-particle&quot;:&quot;&quot;,&quot;non-dropping-particle&quot;:&quot;&quot;},{&quot;family&quot;:&quot;Baeti&quot;,&quot;given&quot;:&quot;Annisa Nur&quot;,&quot;parse-names&quot;:false,&quot;dropping-particle&quot;:&quot;&quot;,&quot;non-dropping-particle&quot;:&quot;&quot;},{&quot;family&quot;:&quot;Athoillah&quot;,&quot;given&quot;:&quot;Muhamad Ibnu&quot;,&quot;parse-names&quot;:false,&quot;dropping-particle&quot;:&quot;&quot;,&quot;non-dropping-particle&quot;:&quot;&quot;},{&quot;family&quot;:&quot;Azis&quot;,&quot;given&quot;:&quot;Donny Khoirul&quot;,&quot;parse-names&quot;:false,&quot;dropping-particle&quot;:&quot;&quot;,&quot;non-dropping-particle&quot;:&quot;&quot;},{&quot;family&quot;:&quot;Fahrezi&quot;,&quot;given&quot;:&quot;Fatur&quot;,&quot;parse-names&quot;:false,&quot;dropping-particle&quot;:&quot;&quot;,&quot;non-dropping-particle&quot;:&quot;&quot;}],&quot;container-title&quot;:&quot;Jurnal Ilmiah IJGIE International Journal Of Graduate Of Islamic Education&quot;,&quot;DOI&quot;:&quot;https://doi.org/10.37567/ijgie.v7i1.4892&quot;,&quot;URL&quot;:&quot;http://webcache.googleusercontent.com/search?q=cache:wyUyNvdZOGYJ:journal.iaisambas.ac.id/index.php/IJGIE/article/download/113/182/+&amp;cd=1&amp;hl=id&amp;ct=clnk&amp;gl=id&quot;,&quot;issued&quot;:{&quot;date-parts&quot;:[[2026]]},&quot;page&quot;:&quot;399-417&quot;,&quot;abstract&quot;:&quot;This study addresses the limited integration between formal Islamic education (madrasah) and pesantren in shaping students’ religious character, which remains insufficiently explored in the sociology of Islamic education. Existing studies tend to examine these institutions separately, with little attention to how their collaboration contributes to the formation of religious habitus through sustained social processes. This research aims to analyze how madrasah–pesantren collaboration facilitates the formation of students’ religious habitus. A qualitative case study was conducted at MTs Al-Ma’arif Rakit, involving its partnership with two Islamic boarding schools. Data were collected through in-depth interviews, participant observation, and document analysis, and analyzed using the interactive model of Miles, Huberman, and Saldaña. The findings indicate that collaboration between madrasah and pesantren creates an integrated social education system in which religious values are internalized through habituation, role modeling, and continuous social interaction. The formation of religious character operates across three interconnected dimensions: collective moral consciousness (Durkheim), habitus formation and reproduction (Bourdieu), and social self-construction (Mead). Notably, the study finds that religious habitus is reproduced not only among boarding students but also among non-residential students through shared social environments. This study contributes theoretically by extending the concept of religious habitus within a collaborative educational context, and practically by proposing a madrasah–pesantren model for integrative Islamic character education.&quot;,&quot;issue&quot;:&quot;1&quot;,&quot;volume&quot;:&quot;7&quot;},&quot;isTemporary&quot;:false}],&quot;citationTag&quot;:&quot;MENDELEY_CITATION_v3_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&quot;},{&quot;citationID&quot;:&quot;MENDELEY_CITATION_301a4439-95bc-4717-a419-01d441d4eac2&quot;,&quot;properties&quot;:{&quot;noteIndex&quot;:0},&quot;isEdited&quot;:false,&quot;manualOverride&quot;:{&quot;isManuallyOverridden&quot;:false,&quot;citeprocText&quot;:&quot;(Aziz, 2023)&quot;,&quot;manualOverrideText&quot;:&quot;&quot;},&quot;citationTag&quot;:&quot;MENDELEY_CITATION_v3_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&quot;,&quot;citationItems&quot;:[{&quot;id&quot;:&quot;ed8649bf-4546-329b-8f66-a28fdf64e359&quot;,&quot;itemData&quot;:{&quot;type&quot;:&quot;article-journal&quot;,&quot;id&quot;:&quot;ed8649bf-4546-329b-8f66-a28fdf64e359&quot;,&quot;title&quot;:&quot;Zakat research trends: A bibliometric analysis&quot;,&quot;author&quot;:[{&quot;family&quot;:&quot;Aziz&quot;,&quot;given&quot;:&quot;N F&quot;,&quot;parse-names&quot;:false,&quot;dropping-particle&quot;:&quot;&quot;,&quot;non-dropping-particle&quot;:&quot;&quot;}],&quot;container-title&quot;:&quot;Journal of Islamic Finance&quot;,&quot;issued&quot;:{&quot;date-parts&quot;:[[2023]]},&quot;container-title-short&quot;:&quot;&quot;},&quot;isTemporary&quot;:false}]},{&quot;citationID&quot;:&quot;MENDELEY_CITATION_e418640a-291b-419f-9b0d-da346c4c4649&quot;,&quot;properties&quot;:{&quot;noteIndex&quot;:0},&quot;isEdited&quot;:false,&quot;manualOverride&quot;:{&quot;isManuallyOverridden&quot;:false,&quot;citeprocText&quot;:&quot;(Kasri &amp;#38; Putri, 2020)&quot;,&quot;manualOverrideText&quot;:&quot;&quot;},&quot;citationTag&quot;:&quot;MENDELEY_CITATION_v3_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&quot;,&quot;citationItems&quot;:[{&quot;id&quot;:&quot;885be0a4-a2a2-3eca-9f32-c76ace3003dc&quot;,&quot;itemData&quot;:{&quot;type&quot;:&quot;article-journal&quot;,&quot;id&quot;:&quot;885be0a4-a2a2-3eca-9f32-c76ace3003dc&quot;,&quot;title&quot;:&quot;The role of zakat in poverty alleviation: Evidence from Indonesia&quot;,&quot;author&quot;:[{&quot;family&quot;:&quot;Kasri&quot;,&quot;given&quot;:&quot;R A&quot;,&quot;parse-names&quot;:false,&quot;dropping-particle&quot;:&quot;&quot;,&quot;non-dropping-particle&quot;:&quot;&quot;},{&quot;family&quot;:&quot;Putri&quot;,&quot;given&quot;:&quot;N I S&quot;,&quot;parse-names&quot;:false,&quot;dropping-particle&quot;:&quot;&quot;,&quot;non-dropping-particle&quot;:&quot;&quot;}],&quot;container-title&quot;:&quot;Journal of Islamic Accounting and Business Research&quot;,&quot;DOI&quot;:&quot;10.1108/JIABR-05-2018-0063&quot;,&quot;issued&quot;:{&quot;date-parts&quot;:[[2020]]},&quot;page&quot;:&quot;1103-1121&quot;,&quot;issue&quot;:&quot;5&quot;,&quot;volume&quot;:&quot;11&quot;,&quot;container-title-short&quot;:&quot;&quot;},&quot;isTemporary&quot;:false}]},{&quot;citationID&quot;:&quot;MENDELEY_CITATION_3146fe04-b08d-4bf4-ade2-45d6b526d4c2&quot;,&quot;properties&quot;:{&quot;noteIndex&quot;:0},&quot;isEdited&quot;:false,&quot;manualOverride&quot;:{&quot;isManuallyOverridden&quot;:false,&quot;citeprocText&quot;:&quot;(Firdaus et al., 2021; Musonif &amp;#38; Azis, 2026)&quot;,&quot;manualOverrideText&quot;:&quot;&quot;},&quot;citationItems&quot;:[{&quot;id&quot;:&quot;5c5f3cb8-10a1-39a5-a129-a22b7e0b87bd&quot;,&quot;itemData&quot;:{&quot;type&quot;:&quot;article-journal&quot;,&quot;id&quot;:&quot;5c5f3cb8-10a1-39a5-a129-a22b7e0b87bd&quot;,&quot;title&quot;:&quot;Economic estimation and determinations of Zakat potential in Indonesia&quot;,&quot;author&quot;:[{&quot;family&quot;:&quot;Firdaus&quot;,&quot;given&quot;:&quot;M&quot;,&quot;parse-names&quot;:false,&quot;dropping-particle&quot;:&quot;&quot;,&quot;non-dropping-particle&quot;:&quot;&quot;},{&quot;family&quot;:&quot;Beik&quot;,&quot;given&quot;:&quot;I S&quot;,&quot;parse-names&quot;:false,&quot;dropping-particle&quot;:&quot;&quot;,&quot;non-dropping-particle&quot;:&quot;&quot;},{&quot;family&quot;:&quot;Irawan&quot;,&quot;given&quot;:&quot;T&quot;,&quot;parse-names&quot;:false,&quot;dropping-particle&quot;:&quot;&quot;,&quot;non-dropping-particle&quot;:&quot;&quot;}],&quot;container-title&quot;:&quot;International Journal of Zakat&quot;,&quot;DOI&quot;:&quot;10.37706/ijaz.v6i1.252&quot;,&quot;issued&quot;:{&quot;date-parts&quot;:[[2021]]},&quot;page&quot;:&quot;1-15&quot;,&quot;issue&quot;:&quot;1&quot;,&quot;volume&quot;:&quot;6&quot;,&quot;container-title-short&quot;:&quot;&quot;},&quot;isTemporary&quot;:false},{&quot;id&quot;:&quot;322989e6-5838-3316-913b-98427a43eebe&quot;,&quot;itemData&quot;:{&quot;type&quot;:&quot;book&quot;,&quot;id&quot;:&quot;322989e6-5838-3316-913b-98427a43eebe&quot;,&quot;title&quot;:&quot;Teori-Teori Pendidikan Integratif Educating the Whole Person&quot;,&quot;author&quot;:[{&quot;family&quot;:&quot;Musonif&quot;,&quot;given&quot;:&quot;Irfan&quot;,&quot;parse-names&quot;:false,&quot;dropping-particle&quot;:&quot;&quot;,&quot;non-dropping-particle&quot;:&quot;&quot;},{&quot;family&quot;:&quot;Azis&quot;,&quot;given&quot;:&quot;Donny Khoirul&quot;,&quot;parse-names&quot;:false,&quot;dropping-particle&quot;:&quot;&quot;,&quot;non-dropping-particle&quot;:&quot;&quot;}],&quot;container-title&quot;:&quot;Qriset indonesia&quot;,&quot;URL&quot;:&quot;https://qrisetindonesia.com/buku/teori-teori-pendidikan-integratif-educating-the-whole-person/&quot;,&quot;issued&quot;:{&quot;date-parts&quot;:[[2026]]},&quot;number-of-pages&quot;:&quot;141&quot;,&quot;abstract&quot;:&quot;Teori-Teori Pendidikan Integratif (Educating the Whole Person) mengkaji secara komprehensif landasan filosofis, psikologis, dan pedagogis dari pendekatan pendidikan yang berorientasi pada pengembangan manusia seutuhnya. Buku ini menelaah berbagai teori pendidikan integratif yang menempatkan peserta didik sebagai subjek yang utuh meliputi dimensi kognitif, afektif, sosial, moral, spiritual, dan fisik dalam suatu kerangka pembelajaran yang holistik dan transformatif. Dengan merujuk pada pemikiran para tokoh pendidikan klasik dan kontemporer, buku ini menguraikan prinsip-prinsip dasar integrasi kurikulum, pembelajaran kontekstual, serta pendekatan interdisipliner sebagai strategi untuk membangun keseimbangan antara penguasaan ilmu pengetahuan dan pembentukan karakter.Lebih lanjut, buku ini membahas implikasi praktis teori pendidikan integratif dalam perancangan kurikulum, strategi pembelajaran, serta evaluasi yang autentik dan berkelanjutan. Penekanan diberikan pada pentingnya kolaborasi antara sekolah, keluarga, dan masyarakat dalam menciptakan ekosistem pendidikan yang mendukung perkembangan potensi peserta didik secara optimal. Dengan pendekatan yang sistematis dan berbasis kajian akademis, buku ini diharapkan menjadi rujukan teoretis sekaligus praktis bagi pendidik, akademisi, dan pembuat kebijakan dalam merancang model pendidikan yang humanis, inklusif, dan relevan dengan tantangan abad ke-21.&quot;,&quot;publisher&quot;:&quot;Qriset Indonesia&quot;},&quot;isTemporary&quot;:false}],&quot;citationTag&quot;:&quot;MENDELEY_CITATION_v3_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&quot;},{&quot;citationID&quot;:&quot;MENDELEY_CITATION_601b2472-734d-44c2-aa64-490e0ee6d99c&quot;,&quot;properties&quot;:{&quot;noteIndex&quot;:0},&quot;isEdited&quot;:false,&quot;manualOverride&quot;:{&quot;isManuallyOverridden&quot;:false,&quot;citeprocText&quot;:&quot;(Yusuf &amp;#38; Derus, 2022)&quot;,&quot;manualOverrideText&quot;:&quot;&quot;},&quot;citationTag&quot;:&quot;MENDELEY_CITATION_v3_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&quot;,&quot;citationItems&quot;:[{&quot;id&quot;:&quot;d9bb77b1-9b55-3a24-ba96-ac3edd26bc0d&quot;,&quot;itemData&quot;:{&quot;type&quot;:&quot;article-journal&quot;,&quot;id&quot;:&quot;d9bb77b1-9b55-3a24-ba96-ac3edd26bc0d&quot;,&quot;title&quot;:&quot;Public perception of zakat and taxation in Muslim countries&quot;,&quot;author&quot;:[{&quot;family&quot;:&quot;Yusuf&quot;,&quot;given&quot;:&quot;M&quot;,&quot;parse-names&quot;:false,&quot;dropping-particle&quot;:&quot;&quot;,&quot;non-dropping-particle&quot;:&quot;&quot;},{&quot;family&quot;:&quot;Derus&quot;,&quot;given&quot;:&quot;A&quot;,&quot;parse-names&quot;:false,&quot;dropping-particle&quot;:&quot;&quot;,&quot;non-dropping-particle&quot;:&quot;&quot;}],&quot;container-title&quot;:&quot;Journal of Islamic Accounting and Business Research&quot;,&quot;DOI&quot;:&quot;10.1108/JIABR-01-2021-0025&quot;,&quot;issued&quot;:{&quot;date-parts&quot;:[[2022]]},&quot;page&quot;:&quot;1032-1048&quot;,&quot;issue&quot;:&quot;7&quot;,&quot;volume&quot;:&quot;13&quot;,&quot;container-title-short&quot;:&quot;&quot;},&quot;isTemporary&quot;:false}]},{&quot;citationID&quot;:&quot;MENDELEY_CITATION_545afb85-a226-4471-9a27-156e76f4eda5&quot;,&quot;properties&quot;:{&quot;noteIndex&quot;:0},&quot;isEdited&quot;:false,&quot;manualOverride&quot;:{&quot;isManuallyOverridden&quot;:false,&quot;citeprocText&quot;:&quot;(Braun &amp;#38; Clarke, 2021)&quot;,&quot;manualOverrideText&quot;:&quot;&quot;},&quot;citationTag&quot;:&quot;MENDELEY_CITATION_v3_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&quot;,&quot;citationItems&quot;:[{&quot;id&quot;:&quot;163ed955-14a4-3224-9370-a9d6f0ea582f&quot;,&quot;itemData&quot;:{&quot;type&quot;:&quot;article-journal&quot;,&quot;id&quot;:&quot;163ed955-14a4-3224-9370-a9d6f0ea582f&quot;,&quot;title&quot;:&quot;One size fits all? What counts as quality practice in (reflexive) thematic analysis?&quot;,&quot;author&quot;:[{&quot;family&quot;:&quot;Braun&quot;,&quot;given&quot;:&quot;V&quot;,&quot;parse-names&quot;:false,&quot;dropping-particle&quot;:&quot;&quot;,&quot;non-dropping-particle&quot;:&quot;&quot;},{&quot;family&quot;:&quot;Clarke&quot;,&quot;given&quot;:&quot;V&quot;,&quot;parse-names&quot;:false,&quot;dropping-particle&quot;:&quot;&quot;,&quot;non-dropping-particle&quot;:&quot;&quot;}],&quot;container-title&quot;:&quot;Qualitative Research in Psychology&quot;,&quot;container-title-short&quot;:&quot;Qual. Res. Psychol.&quot;,&quot;DOI&quot;:&quot;10.1080/14780887.2020.1769238&quot;,&quot;issued&quot;:{&quot;date-parts&quot;:[[2021]]},&quot;page&quot;:&quot;328-352&quot;,&quot;issue&quot;:&quot;3&quot;,&quot;volume&quot;:&quot;18&quot;},&quot;isTemporary&quot;:false}]},{&quot;citationID&quot;:&quot;MENDELEY_CITATION_11ff42ce-e3cf-4f6e-b1c3-5ef9e430eaaf&quot;,&quot;properties&quot;:{&quot;noteIndex&quot;:0},&quot;isEdited&quot;:false,&quot;manualOverride&quot;:{&quot;isManuallyOverridden&quot;:false,&quot;citeprocText&quot;:&quot;(Creswell &amp;#38; Poth, 2018)&quot;,&quot;manualOverrideText&quot;:&quot;&quot;},&quot;citationTag&quot;:&quot;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&quot;,&quot;citationItems&quot;:[{&quot;id&quot;:&quot;2ceb02e2-c7ec-33fb-9023-ce236b6c4bc1&quot;,&quot;itemData&quot;:{&quot;type&quot;:&quot;book&quot;,&quot;id&quot;:&quot;2ceb02e2-c7ec-33fb-9023-ce236b6c4bc1&quot;,&quot;title&quot;:&quot;Qualitative inquiry and research design: Choosing among five approaches (4th ed.)&quot;,&quot;author&quot;:[{&quot;family&quot;:&quot;Creswell&quot;,&quot;given&quot;:&quot;John W.&quot;,&quot;parse-names&quot;:false,&quot;dropping-particle&quot;:&quot;&quot;,&quot;non-dropping-particle&quot;:&quot;&quot;},{&quot;family&quot;:&quot;Poth&quot;,&quot;given&quot;:&quot;Cheryl N.&quot;,&quot;parse-names&quot;:false,&quot;dropping-particle&quot;:&quot;&quot;,&quot;non-dropping-particle&quot;:&quot;&quot;}],&quot;container-title&quot;:&quot;SAGE Publication&quot;,&quot;ISBN&quot;:&quot;9781506330204&quot;,&quot;PMID&quot;:&quot;38252772&quot;,&quot;issued&quot;:{&quot;date-parts&quot;:[[2018]]},&quot;abstract&quot;:&quot;BACKGROUND: Despite a relative reduction in the hospitalization rate for heart failure (HF), the actual number of HF hospitalizations remains &gt;1 million annually. More than 80% of patients who are hospitalized are initially seen in the emergency department (ED). Importantly, the ED is the safety net for acute HF (AHF) care. Thus, it is the primary provider for vulnerable patients, including those with low socioeconomic status, minority populations, and those with poor health literacy. Hospitalized patients with HF are among those most frequently readmitted within 30 days; they have up to a 25% risk of readmission within a month and a 50% risk within 6 months of discharge. Events in patients with AHF discharged from the ED are reportedly much higher, and an even greater disparity exists between vulnerable and nonvulnerable patients. Self-care education and other strategies could improve this disparity gap. We proposed studying the impact of a self-care intervention on patients with AHF discharged from the ED. OBJECTIVES: We determined the impact of our self-care intervention on our primary outcome, a composite global rank prioritizing outcomes in the following order: cardiovascular (CV) death, HF event (first ED/clinic revisit or hospital admission), and Kansas City Cardiomyopathy Questionnaire (KCCQ) score at 90 days. We (1) determined the overall impact of our strategy regardless of vulnerable characteristics, (2) explored individual characteristics of vulnerability associated with the highest (and lowest) improvements from our intervention, and (3) assessed the reduction in disparities in our primary outcome between those with and without characteristics of vulnerability. Secondary end points included our primary composite outcome at 30 days, patient satisfaction, HF knowledge, and HF health status based on the KCCQ at 30 and 90 days. METHODS: Patients with AHF who were discharged after a brief ED stay at 15 sites were screened to ensure that they fulfilled our broad inclusion and exclusion criteria: history of HF, not on an outpatient inotrope infusion, systolic blood pressure (BP) &gt;100 mm Hg, and no evidence of an acute coronary syndrome. They were randomly assigned 1:1 to structured usual ED discharge care vs a tailored intervention strategy that focused on self-care strategies over the subsequent 90 days. This intervention was conducted by study team coordinators, nurses, and paramedics trained under an identical protocol. We stratified by site and randomized at the patient level using random permuted blocks. Research staff who were blinded to intervention arm called all patients at 30 and 90 days after discharge to determine the primary and secondary outcomes. For our primary outcome, we analyzed the impact of our intervention on our global rank end point at 90 days. This outcome was also evaluated in our subset of vulnerable patients. Key secondary outcomes included the impact of our intervention on our global rank end point at 30 days and changes in the KCCQ and Dutch Heart Failure Knowledge Scale (DHFKS) scores at 30 and 90 days. We used means and medians for simple descriptive statistics, and the proportional hazards model for the global ranking outcome. Our models adjusted for traditional covariates of HF severity, including age, sex, systolic BP, prior ejection fraction (EF) (moderate/severe vs normal), and estimated glomerular filtration rate. RESULTS: From October 28, 2015, to September 5, 2019, we randomly assigned 491 patients at 15 sites. Of these 491 patients, 245 were allocated to structured usual care, and 246 were allocated to our intervention arm. The overall median age was 63 years, 63% were African American, 36% were female, and 40% had a normal prior EF. Comorbidities such as diabetes, hypertension, and chronic kidney disease were prevalent and well balanced between the 2 arms. Our adjusted analysis for the global rank primary outcome showed that patients in the intervention arm were 10% less likely (hazard ratio [HR], 0.89; 95% CI, 0.73-1.10; P = .28) to have a worse global ranking over 90 days compared with patients in the usual care arm. Compared with patients in the structured usual care arm, patients in the intervention arm had a 4% (95% CI, ‒0.04 to 0.13; P = .29) overall lower rate of CV death and HF-related events over 90 days. The adjusted model for 90-day CV death and HF events found a 22% reduction in events in the intervention arm compared with the usual care arm (HR, 0.78; 95% CI, 0.57-1.06; P = .11). Similar differences were seen between the intervention arm and usual care arm among our vulnerable population. For our key secondary end point, compared with patients in the usual care arm, patients in the intervention arm were significantly less likely to have a worse global ranking over 30 days (HR, 0.80; 95% CI, 0.64-0.99; P = .04). Median 30-day changes from baseline to 30 days in KCCQ score were 9.5 points in the intervention arm and 5.7 in the usual care arm (P = .05). Median 90-day change in KCCQ score was 10.9 points in the intervention arm and 9.4 points in the structured usual care arm (P = .75). Based on our adjusted model, 30-day changes in KCCQ score for patients in the intervention arm were 5.49 points higher (95% CI, 1.25-9.72; P = .01) than for patients in the structured usual care arm. There were no significant differences in KCCQ score at 90 days (β = 2.7; P = .25). We used a linear regression model, with changes in the DHFKS score as the outcome while adjusting for the baseline DHFKS score. The adjusted difference in DHFKS score between the intervention arm and the structured usual care arm was 1.22 points (95% CI, 0.34-2.09; P = .007) at 30 days and 1.94 points (95% CI, 1.02-2.87; P &lt; .001) at 90 days. CONCLUSIONS: We successfully completed the first randomized study of patients with AHF discharged from the ED and collected 30-day and 90-day event rates. There were no significant differences between arms in our primary 90-day outcome. At 30 days, our intervention resulted in a significant improvement in our primary global rank outcome. Importantly, as a result of our intervention, significant differences in patient-centered outcomes, such as KCCQ score and HF knowledge, were seen at 30 and 90 days. A variety of health care providers successfully delivered our intervention strategy, suggesting that this strategy would be readily amenable to rapid dissemination and implementation. LIMITATIONS: There are several limitations of this work. First, we had projected CV death, hospital admission, and ED revisit event rates of 62% in the usual care arm but experienced only a 36% rate, drastically limiting our power to detect differences between usual care and the intervention. Second, participant withdrawal in the intervention arm was greater than in the usual care arm, which suggests that certain patients may be more amenable to self-care coaching and that our results may be most applicable to this group. Third, our overall accrual rate was slower than expected, resulting in an extension of study duration; a discussion with PCORI resulted in a target sample size adjustment and a change in our primary outcome. Temporal changes in admission patterns at certain sites were largely responsible for this occurrence. Finally, the consent rate was only 56%, suggesting that patients may still be hesitant to allow virtual or in-person home visits. The receptivity to telehealth may change as a result of the COVID-19 virus pandemic.&quot;,&quot;publisher&quot;:&quot;SAGE Publications&quot;,&quot;container-title-short&quot;:&quot;&quot;},&quot;isTemporary&quot;:false}]},{&quot;citationID&quot;:&quot;MENDELEY_CITATION_f72d1dd6-9059-440d-84de-0aa382b48d14&quot;,&quot;properties&quot;:{&quot;noteIndex&quot;:0,&quot;mode&quot;:&quot;suppress-author&quot;},&quot;isEdited&quot;:false,&quot;manualOverride&quot;:{&quot;isManuallyOverridden&quot;:false,&quot;citeprocText&quot;:&quot;(2021)&quot;,&quot;manualOverrideText&quot;:&quot;&quot;},&quot;citationTag&quot;:&quot;MENDELEY_CITATION_v3_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&quot;,&quot;citationItems&quot;:[{&quot;id&quot;:&quot;163ed955-14a4-3224-9370-a9d6f0ea582f&quot;,&quot;itemData&quot;:{&quot;type&quot;:&quot;article-journal&quot;,&quot;id&quot;:&quot;163ed955-14a4-3224-9370-a9d6f0ea582f&quot;,&quot;title&quot;:&quot;One size fits all? What counts as quality practice in (reflexive) thematic analysis?&quot;,&quot;author&quot;:[{&quot;family&quot;:&quot;Braun&quot;,&quot;given&quot;:&quot;V&quot;,&quot;parse-names&quot;:false,&quot;dropping-particle&quot;:&quot;&quot;,&quot;non-dropping-particle&quot;:&quot;&quot;},{&quot;family&quot;:&quot;Clarke&quot;,&quot;given&quot;:&quot;V&quot;,&quot;parse-names&quot;:false,&quot;dropping-particle&quot;:&quot;&quot;,&quot;non-dropping-particle&quot;:&quot;&quot;}],&quot;container-title&quot;:&quot;Qualitative Research in Psychology&quot;,&quot;container-title-short&quot;:&quot;Qual. Res. Psychol.&quot;,&quot;DOI&quot;:&quot;10.1080/14780887.2020.1769238&quot;,&quot;issued&quot;:{&quot;date-parts&quot;:[[2021]]},&quot;page&quot;:&quot;328-352&quot;,&quot;issue&quot;:&quot;3&quot;,&quot;volume&quot;:&quot;18&quot;},&quot;isTemporary&quot;:false,&quot;displayAs&quot;:&quot;suppress-author&quot;,&quot;suppress-author&quot;:true,&quot;composite&quot;:false,&quot;author-only&quot;:false}]},{&quot;citationID&quot;:&quot;MENDELEY_CITATION_7b68fe5a-b54b-4c65-8e7a-0491f2f8dd1d&quot;,&quot;properties&quot;:{&quot;noteIndex&quot;:0},&quot;isEdited&quot;:false,&quot;manualOverride&quot;:{&quot;isManuallyOverridden&quot;:true,&quot;citeprocText&quot;:&quot;(Nowell et al., 2017)&quot;,&quot;manualOverrideText&quot;:&quot;(Nowell et al., 2017).&quot;},&quot;citationTag&quot;:&quot;MENDELEY_CITATION_v3_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&quot;,&quot;citationItems&quot;:[{&quot;id&quot;:&quot;188909f5-b918-34d5-bee6-5c26a31d485d&quot;,&quot;itemData&quot;:{&quot;type&quot;:&quot;article-journal&quot;,&quot;id&quot;:&quot;188909f5-b918-34d5-bee6-5c26a31d485d&quot;,&quot;title&quot;:&quot;Thematic analysis: Striving to meet the trustworthiness criteria&quot;,&quot;author&quot;:[{&quot;family&quot;:&quot;Nowell&quot;,&quot;given&quot;:&quot;L S&quot;,&quot;parse-names&quot;:false,&quot;dropping-particle&quot;:&quot;&quot;,&quot;non-dropping-particle&quot;:&quot;&quot;},{&quot;family&quot;:&quot;Norris&quot;,&quot;given&quot;:&quot;J M&quot;,&quot;parse-names&quot;:false,&quot;dropping-particle&quot;:&quot;&quot;,&quot;non-dropping-particle&quot;:&quot;&quot;},{&quot;family&quot;:&quot;White&quot;,&quot;given&quot;:&quot;D E&quot;,&quot;parse-names&quot;:false,&quot;dropping-particle&quot;:&quot;&quot;,&quot;non-dropping-particle&quot;:&quot;&quot;},{&quot;family&quot;:&quot;Moules&quot;,&quot;given&quot;:&quot;N J&quot;,&quot;parse-names&quot;:false,&quot;dropping-particle&quot;:&quot;&quot;,&quot;non-dropping-particle&quot;:&quot;&quot;}],&quot;container-title&quot;:&quot;International Journal of Qualitative Methods&quot;,&quot;container-title-short&quot;:&quot;Int. J. Qual. Methods&quot;,&quot;DOI&quot;:&quot;10.1177/1609406917733847&quot;,&quot;URL&quot;:&quot;https://doi.org/10.1177/1609406917733847&quot;,&quot;issued&quot;:{&quot;date-parts&quot;:[[2017]]},&quot;issue&quot;:&quot;1&quot;,&quot;volume&quot;:&quot;16&quot;},&quot;isTemporary&quot;:false}]},{&quot;citationID&quot;:&quot;MENDELEY_CITATION_430c2173-07cb-4814-97ef-e3a1709ba074&quot;,&quot;properties&quot;:{&quot;noteIndex&quot;:0},&quot;isEdited&quot;:false,&quot;manualOverride&quot;:{&quot;isManuallyOverridden&quot;:false,&quot;citeprocText&quot;:&quot;(Bowen, 2009)&quot;,&quot;manualOverrideText&quot;:&quot;&quot;},&quot;citationTag&quot;:&quot;MENDELEY_CITATION_v3_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&quot;,&quot;citationItems&quot;:[{&quot;id&quot;:&quot;30c1a5cf-fa6a-3c60-8d08-f9acb2e48239&quot;,&quot;itemData&quot;:{&quot;type&quot;:&quot;article-journal&quot;,&quot;id&quot;:&quot;30c1a5cf-fa6a-3c60-8d08-f9acb2e48239&quot;,&quot;title&quot;:&quot;Document analysis as a qualitative research method&quot;,&quot;author&quot;:[{&quot;family&quot;:&quot;Bowen&quot;,&quot;given&quot;:&quot;G A&quot;,&quot;parse-names&quot;:false,&quot;dropping-particle&quot;:&quot;&quot;,&quot;non-dropping-particle&quot;:&quot;&quot;}],&quot;container-title&quot;:&quot;Qualitative Research Journal&quot;,&quot;DOI&quot;:&quot;10.3316/QRJ0902027&quot;,&quot;issued&quot;:{&quot;date-parts&quot;:[[2009]]},&quot;page&quot;:&quot;27-40&quot;,&quot;issue&quot;:&quot;2&quot;,&quot;volume&quot;:&quot;9&quot;,&quot;container-title-short&quot;:&quot;&quot;},&quot;isTemporary&quot;:false}]},{&quot;citationID&quot;:&quot;MENDELEY_CITATION_88d2c515-7e66-4892-8e61-049084dce124&quot;,&quot;properties&quot;:{&quot;noteIndex&quot;:0,&quot;mode&quot;:&quot;suppress-author&quot;},&quot;isEdited&quot;:false,&quot;manualOverride&quot;:{&quot;isManuallyOverridden&quot;:false,&quot;citeprocText&quot;:&quot;(2021)&quot;,&quot;manualOverrideText&quot;:&quot;&quot;},&quot;citationTag&quot;:&quot;MENDELEY_CITATION_v3_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&quot;,&quot;citationItems&quot;:[{&quot;id&quot;:&quot;163ed955-14a4-3224-9370-a9d6f0ea582f&quot;,&quot;itemData&quot;:{&quot;type&quot;:&quot;article-journal&quot;,&quot;id&quot;:&quot;163ed955-14a4-3224-9370-a9d6f0ea582f&quot;,&quot;title&quot;:&quot;One size fits all? What counts as quality practice in (reflexive) thematic analysis?&quot;,&quot;author&quot;:[{&quot;family&quot;:&quot;Braun&quot;,&quot;given&quot;:&quot;V&quot;,&quot;parse-names&quot;:false,&quot;dropping-particle&quot;:&quot;&quot;,&quot;non-dropping-particle&quot;:&quot;&quot;},{&quot;family&quot;:&quot;Clarke&quot;,&quot;given&quot;:&quot;V&quot;,&quot;parse-names&quot;:false,&quot;dropping-particle&quot;:&quot;&quot;,&quot;non-dropping-particle&quot;:&quot;&quot;}],&quot;container-title&quot;:&quot;Qualitative Research in Psychology&quot;,&quot;container-title-short&quot;:&quot;Qual. Res. Psychol.&quot;,&quot;DOI&quot;:&quot;10.1080/14780887.2020.1769238&quot;,&quot;issued&quot;:{&quot;date-parts&quot;:[[2021]]},&quot;page&quot;:&quot;328-352&quot;,&quot;issue&quot;:&quot;3&quot;,&quot;volume&quot;:&quot;18&quot;},&quot;isTemporary&quot;:false,&quot;displayAs&quot;:&quot;suppress-author&quot;,&quot;suppress-author&quot;:true,&quot;composite&quot;:false,&quot;author-only&quot;:false}]},{&quot;citationID&quot;:&quot;MENDELEY_CITATION_725b0d2d-87f4-45ca-ac78-8b1ed0ca384c&quot;,&quot;properties&quot;:{&quot;noteIndex&quot;:0},&quot;isEdited&quot;:false,&quot;manualOverride&quot;:{&quot;isManuallyOverridden&quot;:false,&quot;citeprocText&quot;:&quot;(Nowell et al., 2017)&quot;,&quot;manualOverrideText&quot;:&quot;&quot;},&quot;citationTag&quot;:&quot;MENDELEY_CITATION_v3_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&quot;,&quot;citationItems&quot;:[{&quot;id&quot;:&quot;188909f5-b918-34d5-bee6-5c26a31d485d&quot;,&quot;itemData&quot;:{&quot;type&quot;:&quot;article-journal&quot;,&quot;id&quot;:&quot;188909f5-b918-34d5-bee6-5c26a31d485d&quot;,&quot;title&quot;:&quot;Thematic analysis: Striving to meet the trustworthiness criteria&quot;,&quot;author&quot;:[{&quot;family&quot;:&quot;Nowell&quot;,&quot;given&quot;:&quot;L S&quot;,&quot;parse-names&quot;:false,&quot;dropping-particle&quot;:&quot;&quot;,&quot;non-dropping-particle&quot;:&quot;&quot;},{&quot;family&quot;:&quot;Norris&quot;,&quot;given&quot;:&quot;J M&quot;,&quot;parse-names&quot;:false,&quot;dropping-particle&quot;:&quot;&quot;,&quot;non-dropping-particle&quot;:&quot;&quot;},{&quot;family&quot;:&quot;White&quot;,&quot;given&quot;:&quot;D E&quot;,&quot;parse-names&quot;:false,&quot;dropping-particle&quot;:&quot;&quot;,&quot;non-dropping-particle&quot;:&quot;&quot;},{&quot;family&quot;:&quot;Moules&quot;,&quot;given&quot;:&quot;N J&quot;,&quot;parse-names&quot;:false,&quot;dropping-particle&quot;:&quot;&quot;,&quot;non-dropping-particle&quot;:&quot;&quot;}],&quot;container-title&quot;:&quot;International Journal of Qualitative Methods&quot;,&quot;container-title-short&quot;:&quot;Int. J. Qual. Methods&quot;,&quot;DOI&quot;:&quot;10.1177/1609406917733847&quot;,&quot;URL&quot;:&quot;https://doi.org/10.1177/1609406917733847&quot;,&quot;issued&quot;:{&quot;date-parts&quot;:[[2017]]},&quot;issue&quot;:&quot;1&quot;,&quot;volume&quot;:&quot;16&quot;},&quot;isTemporary&quot;:false}]},{&quot;citationID&quot;:&quot;MENDELEY_CITATION_87f19305-86ea-4987-b944-99b7720178d7&quot;,&quot;properties&quot;:{&quot;noteIndex&quot;:0},&quot;isEdited&quot;:false,&quot;manualOverride&quot;:{&quot;isManuallyOverridden&quot;:false,&quot;citeprocText&quot;:&quot;(Braun &amp;#38; Clarke, 2021)&quot;,&quot;manualOverrideText&quot;:&quot;&quot;},&quot;citationTag&quot;:&quot;MENDELEY_CITATION_v3_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&quot;,&quot;citationItems&quot;:[{&quot;id&quot;:&quot;163ed955-14a4-3224-9370-a9d6f0ea582f&quot;,&quot;itemData&quot;:{&quot;type&quot;:&quot;article-journal&quot;,&quot;id&quot;:&quot;163ed955-14a4-3224-9370-a9d6f0ea582f&quot;,&quot;title&quot;:&quot;One size fits all? What counts as quality practice in (reflexive) thematic analysis?&quot;,&quot;author&quot;:[{&quot;family&quot;:&quot;Braun&quot;,&quot;given&quot;:&quot;V&quot;,&quot;parse-names&quot;:false,&quot;dropping-particle&quot;:&quot;&quot;,&quot;non-dropping-particle&quot;:&quot;&quot;},{&quot;family&quot;:&quot;Clarke&quot;,&quot;given&quot;:&quot;V&quot;,&quot;parse-names&quot;:false,&quot;dropping-particle&quot;:&quot;&quot;,&quot;non-dropping-particle&quot;:&quot;&quot;}],&quot;container-title&quot;:&quot;Qualitative Research in Psychology&quot;,&quot;container-title-short&quot;:&quot;Qual. Res. Psychol.&quot;,&quot;DOI&quot;:&quot;10.1080/14780887.2020.1769238&quot;,&quot;issued&quot;:{&quot;date-parts&quot;:[[2021]]},&quot;page&quot;:&quot;328-352&quot;,&quot;issue&quot;:&quot;3&quot;,&quot;volume&quot;:&quot;18&quot;},&quot;isTemporary&quot;:false}]},{&quot;citationID&quot;:&quot;MENDELEY_CITATION_1bfe21e9-1b98-4307-ab83-be09aadb35ec&quot;,&quot;properties&quot;:{&quot;noteIndex&quot;:0},&quot;isEdited&quot;:false,&quot;manualOverride&quot;:{&quot;isManuallyOverridden&quot;:false,&quot;citeprocText&quot;:&quot;((BAZNAS), 2023)&quot;,&quot;manualOverrideText&quot;:&quot;&quot;},&quot;citationTag&quot;:&quot;MENDELEY_CITATION_v3_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&quot;,&quot;citationItems&quot;:[{&quot;id&quot;:&quot;15ef94fa-603f-372e-92cc-9825bac0af67&quot;,&quot;itemData&quot;:{&quot;type&quot;:&quot;report&quot;,&quot;id&quot;:&quot;15ef94fa-603f-372e-92cc-9825bac0af67&quot;,&quot;title&quot;:&quot;Outlook Zakat Indonesia 2023&quot;,&quot;author&quot;:[{&quot;family&quot;:&quot;(BAZNAS)&quot;,&quot;given&quot;:&quot;Badan Amil Zakat Nasional&quot;,&quot;parse-names&quot;:false,&quot;dropping-particle&quot;:&quot;&quot;,&quot;non-dropping-particle&quot;:&quot;&quot;}],&quot;URL&quot;:&quot;https://baznas.go.id&quot;,&quot;issued&quot;:{&quot;date-parts&quot;:[[2023]]},&quot;container-title-short&quot;:&quot;&quot;},&quot;isTemporary&quot;:false}]},{&quot;citationID&quot;:&quot;MENDELEY_CITATION_dc1ea5f8-82ce-4e66-8d8c-8d073ceb077c&quot;,&quot;properties&quot;:{&quot;noteIndex&quot;:0},&quot;isEdited&quot;:false,&quot;manualOverride&quot;:{&quot;isManuallyOverridden&quot;:false,&quot;citeprocText&quot;:&quot;(Yusuf &amp;#38; Derus, 2022)&quot;,&quot;manualOverrideText&quot;:&quot;&quot;},&quot;citationTag&quot;:&quot;MENDELEY_CITATION_v3_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&quot;,&quot;citationItems&quot;:[{&quot;id&quot;:&quot;d9bb77b1-9b55-3a24-ba96-ac3edd26bc0d&quot;,&quot;itemData&quot;:{&quot;type&quot;:&quot;article-journal&quot;,&quot;id&quot;:&quot;d9bb77b1-9b55-3a24-ba96-ac3edd26bc0d&quot;,&quot;title&quot;:&quot;Public perception of zakat and taxation in Muslim countries&quot;,&quot;author&quot;:[{&quot;family&quot;:&quot;Yusuf&quot;,&quot;given&quot;:&quot;M&quot;,&quot;parse-names&quot;:false,&quot;dropping-particle&quot;:&quot;&quot;,&quot;non-dropping-particle&quot;:&quot;&quot;},{&quot;family&quot;:&quot;Derus&quot;,&quot;given&quot;:&quot;A&quot;,&quot;parse-names&quot;:false,&quot;dropping-particle&quot;:&quot;&quot;,&quot;non-dropping-particle&quot;:&quot;&quot;}],&quot;container-title&quot;:&quot;Journal of Islamic Accounting and Business Research&quot;,&quot;DOI&quot;:&quot;10.1108/JIABR-01-2021-0025&quot;,&quot;issued&quot;:{&quot;date-parts&quot;:[[2022]]},&quot;page&quot;:&quot;1032-1048&quot;,&quot;issue&quot;:&quot;7&quot;,&quot;volume&quot;:&quot;13&quot;,&quot;container-title-short&quot;:&quot;&quot;},&quot;isTemporary&quot;:false}]},{&quot;citationID&quot;:&quot;MENDELEY_CITATION_07cfc5b8-695f-4fbc-ba69-64613d640064&quot;,&quot;properties&quot;:{&quot;noteIndex&quot;:0},&quot;isEdited&quot;:false,&quot;manualOverride&quot;:{&quot;isManuallyOverridden&quot;:false,&quot;citeprocText&quot;:&quot;((BAZNAS), 2023)&quot;,&quot;manualOverrideText&quot;:&quot;&quot;},&quot;citationTag&quot;:&quot;MENDELEY_CITATION_v3_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&quot;,&quot;citationItems&quot;:[{&quot;id&quot;:&quot;15ef94fa-603f-372e-92cc-9825bac0af67&quot;,&quot;itemData&quot;:{&quot;type&quot;:&quot;report&quot;,&quot;id&quot;:&quot;15ef94fa-603f-372e-92cc-9825bac0af67&quot;,&quot;title&quot;:&quot;Outlook Zakat Indonesia 2023&quot;,&quot;author&quot;:[{&quot;family&quot;:&quot;(BAZNAS)&quot;,&quot;given&quot;:&quot;Badan Amil Zakat Nasional&quot;,&quot;parse-names&quot;:false,&quot;dropping-particle&quot;:&quot;&quot;,&quot;non-dropping-particle&quot;:&quot;&quot;}],&quot;URL&quot;:&quot;https://baznas.go.id&quot;,&quot;issued&quot;:{&quot;date-parts&quot;:[[2023]]},&quot;container-title-short&quot;:&quot;&quot;},&quot;isTemporary&quot;:false}]},{&quot;citationID&quot;:&quot;MENDELEY_CITATION_33b23ca5-c176-430e-88f9-488da9e2aa9d&quot;,&quot;properties&quot;:{&quot;noteIndex&quot;:0},&quot;isEdited&quot;:false,&quot;manualOverride&quot;:{&quot;isManuallyOverridden&quot;:false,&quot;citeprocText&quot;:&quot;(Indonesia, 2023)&quot;,&quot;manualOverrideText&quot;:&quot;&quot;},&quot;citationTag&quot;:&quot;MENDELEY_CITATION_v3_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&quot;,&quot;citationItems&quot;:[{&quot;id&quot;:&quot;fefd8b42-8e08-321e-b52c-1d2349bf5c3f&quot;,&quot;itemData&quot;:{&quot;type&quot;:&quot;report&quot;,&quot;id&quot;:&quot;fefd8b42-8e08-321e-b52c-1d2349bf5c3f&quot;,&quot;title&quot;:&quot;Anggaran Pendapatan dan Belanja Negara (APBN) 2023: Buku II Nota Keuangan&quot;,&quot;author&quot;:[{&quot;family&quot;:&quot;Indonesia&quot;,&quot;given&quot;:&quot;Kementerian Keuangan Republik&quot;,&quot;parse-names&quot;:false,&quot;dropping-particle&quot;:&quot;&quot;,&quot;non-dropping-particle&quot;:&quot;&quot;}],&quot;URL&quot;:&quot;https://www.kemenkeu.go.id/apbn2023&quot;,&quot;issued&quot;:{&quot;date-parts&quot;:[[2023]]},&quot;container-title-short&quot;:&quot;&quot;},&quot;isTemporary&quot;:false}]},{&quot;citationID&quot;:&quot;MENDELEY_CITATION_2e2a6273-11bd-45b9-8637-6037186a31f0&quot;,&quot;properties&quot;:{&quot;noteIndex&quot;:0},&quot;isEdited&quot;:false,&quot;manualOverride&quot;:{&quot;isManuallyOverridden&quot;:false,&quot;citeprocText&quot;:&quot;(Indonesia, 2023)&quot;,&quot;manualOverrideText&quot;:&quot;&quot;},&quot;citationTag&quot;:&quot;MENDELEY_CITATION_v3_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&quot;,&quot;citationItems&quot;:[{&quot;id&quot;:&quot;fefd8b42-8e08-321e-b52c-1d2349bf5c3f&quot;,&quot;itemData&quot;:{&quot;type&quot;:&quot;report&quot;,&quot;id&quot;:&quot;fefd8b42-8e08-321e-b52c-1d2349bf5c3f&quot;,&quot;title&quot;:&quot;Anggaran Pendapatan dan Belanja Negara (APBN) 2023: Buku II Nota Keuangan&quot;,&quot;author&quot;:[{&quot;family&quot;:&quot;Indonesia&quot;,&quot;given&quot;:&quot;Kementerian Keuangan Republik&quot;,&quot;parse-names&quot;:false,&quot;dropping-particle&quot;:&quot;&quot;,&quot;non-dropping-particle&quot;:&quot;&quot;}],&quot;URL&quot;:&quot;https://www.kemenkeu.go.id/apbn2023&quot;,&quot;issued&quot;:{&quot;date-parts&quot;:[[2023]]},&quot;container-title-short&quot;:&quot;&quot;},&quot;isTemporary&quot;:false}]},{&quot;citationID&quot;:&quot;MENDELEY_CITATION_fb098247-f98f-45f5-99e1-1136f2d5e7ae&quot;,&quot;properties&quot;:{&quot;noteIndex&quot;:0},&quot;isEdited&quot;:false,&quot;manualOverride&quot;:{&quot;isManuallyOverridden&quot;:false,&quot;citeprocText&quot;:&quot;(Indonesia, 2023)&quot;,&quot;manualOverrideText&quot;:&quot;&quot;},&quot;citationTag&quot;:&quot;MENDELEY_CITATION_v3_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&quot;,&quot;citationItems&quot;:[{&quot;id&quot;:&quot;fefd8b42-8e08-321e-b52c-1d2349bf5c3f&quot;,&quot;itemData&quot;:{&quot;type&quot;:&quot;report&quot;,&quot;id&quot;:&quot;fefd8b42-8e08-321e-b52c-1d2349bf5c3f&quot;,&quot;title&quot;:&quot;Anggaran Pendapatan dan Belanja Negara (APBN) 2023: Buku II Nota Keuangan&quot;,&quot;author&quot;:[{&quot;family&quot;:&quot;Indonesia&quot;,&quot;given&quot;:&quot;Kementerian Keuangan Republik&quot;,&quot;parse-names&quot;:false,&quot;dropping-particle&quot;:&quot;&quot;,&quot;non-dropping-particle&quot;:&quot;&quot;}],&quot;URL&quot;:&quot;https://www.kemenkeu.go.id/apbn2023&quot;,&quot;issued&quot;:{&quot;date-parts&quot;:[[2023]]},&quot;container-title-short&quot;:&quot;&quot;},&quot;isTemporary&quot;:false}]},{&quot;citationID&quot;:&quot;MENDELEY_CITATION_809bf6ea-ce01-424e-ba51-96e0accb0a08&quot;,&quot;properties&quot;:{&quot;noteIndex&quot;:0,&quot;mode&quot;:&quot;suppress-author&quot;},&quot;isEdited&quot;:false,&quot;manualOverride&quot;:{&quot;isManuallyOverridden&quot;:false,&quot;citeprocText&quot;:&quot;(2021)&quot;,&quot;manualOverrideText&quot;:&quot;&quot;},&quot;citationTag&quot;:&quot;MENDELEY_CITATION_v3_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&quot;,&quot;citationItems&quot;:[{&quot;id&quot;:&quot;2d591258-4a6e-3721-9dd4-f540cbe285f4&quot;,&quot;itemData&quot;:{&quot;type&quot;:&quot;book&quot;,&quot;id&quot;:&quot;2d591258-4a6e-3721-9dd4-f540cbe285f4&quot;,&quot;title&quot;:&quot;Islamic economics: What it is and how it developed&quot;,&quot;author&quot;:[{&quot;family&quot;:&quot;Chapra&quot;,&quot;given&quot;:&quot;M U&quot;,&quot;parse-names&quot;:false,&quot;dropping-particle&quot;:&quot;&quot;,&quot;non-dropping-particle&quot;:&quot;&quot;}],&quot;URL&quot;:&quot;https://irti.org&quot;,&quot;issued&quot;:{&quot;date-parts&quot;:[[2021]]},&quot;publisher&quot;:&quot;Islamic Research and Training Institute (IRTI)&quot;,&quot;container-title-short&quot;:&quot;&quot;},&quot;isTemporary&quot;:false,&quot;displayAs&quot;:&quot;suppress-author&quot;,&quot;suppress-author&quot;:true,&quot;composite&quot;:false,&quot;author-only&quot;:false}]},{&quot;citationID&quot;:&quot;MENDELEY_CITATION_969cf980-e9f9-4768-a864-3174514d4b79&quot;,&quot;properties&quot;:{&quot;noteIndex&quot;:0,&quot;mode&quot;:&quot;suppress-author&quot;},&quot;isEdited&quot;:false,&quot;manualOverride&quot;:{&quot;isManuallyOverridden&quot;:false,&quot;citeprocText&quot;:&quot;(2022)&quot;,&quot;manualOverrideText&quot;:&quot;&quot;},&quot;citationTag&quot;:&quot;MENDELEY_CITATION_v3_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&quot;,&quot;citationItems&quot;:[{&quot;id&quot;:&quot;d9bb77b1-9b55-3a24-ba96-ac3edd26bc0d&quot;,&quot;itemData&quot;:{&quot;type&quot;:&quot;article-journal&quot;,&quot;id&quot;:&quot;d9bb77b1-9b55-3a24-ba96-ac3edd26bc0d&quot;,&quot;title&quot;:&quot;Public perception of zakat and taxation in Muslim countries&quot;,&quot;author&quot;:[{&quot;family&quot;:&quot;Yusuf&quot;,&quot;given&quot;:&quot;M&quot;,&quot;parse-names&quot;:false,&quot;dropping-particle&quot;:&quot;&quot;,&quot;non-dropping-particle&quot;:&quot;&quot;},{&quot;family&quot;:&quot;Derus&quot;,&quot;given&quot;:&quot;A&quot;,&quot;parse-names&quot;:false,&quot;dropping-particle&quot;:&quot;&quot;,&quot;non-dropping-particle&quot;:&quot;&quot;}],&quot;container-title&quot;:&quot;Journal of Islamic Accounting and Business Research&quot;,&quot;DOI&quot;:&quot;10.1108/JIABR-01-2021-0025&quot;,&quot;issued&quot;:{&quot;date-parts&quot;:[[2022]]},&quot;page&quot;:&quot;1032-1048&quot;,&quot;issue&quot;:&quot;7&quot;,&quot;volume&quot;:&quot;13&quot;,&quot;container-title-short&quot;:&quot;&quot;},&quot;isTemporary&quot;:false,&quot;displayAs&quot;:&quot;suppress-author&quot;,&quot;suppress-author&quot;:true,&quot;composite&quot;:false,&quot;author-only&quot;:false}]},{&quot;citationID&quot;:&quot;MENDELEY_CITATION_de02bff5-91f9-49d0-b2d1-a124266dc794&quot;,&quot;properties&quot;:{&quot;noteIndex&quot;:0,&quot;mode&quot;:&quot;suppress-author&quot;},&quot;isEdited&quot;:false,&quot;manualOverride&quot;:{&quot;isManuallyOverridden&quot;:false,&quot;citeprocText&quot;:&quot;(2020)&quot;,&quot;manualOverrideText&quot;:&quot;&quot;},&quot;citationTag&quot;:&quot;MENDELEY_CITATION_v3_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&quot;,&quot;citationItems&quot;:[{&quot;id&quot;:&quot;885be0a4-a2a2-3eca-9f32-c76ace3003dc&quot;,&quot;itemData&quot;:{&quot;type&quot;:&quot;article-journal&quot;,&quot;id&quot;:&quot;885be0a4-a2a2-3eca-9f32-c76ace3003dc&quot;,&quot;title&quot;:&quot;The role of zakat in poverty alleviation: Evidence from Indonesia&quot;,&quot;author&quot;:[{&quot;family&quot;:&quot;Kasri&quot;,&quot;given&quot;:&quot;R A&quot;,&quot;parse-names&quot;:false,&quot;dropping-particle&quot;:&quot;&quot;,&quot;non-dropping-particle&quot;:&quot;&quot;},{&quot;family&quot;:&quot;Putri&quot;,&quot;given&quot;:&quot;N I S&quot;,&quot;parse-names&quot;:false,&quot;dropping-particle&quot;:&quot;&quot;,&quot;non-dropping-particle&quot;:&quot;&quot;}],&quot;container-title&quot;:&quot;Journal of Islamic Accounting and Business Research&quot;,&quot;DOI&quot;:&quot;10.1108/JIABR-05-2018-0063&quot;,&quot;issued&quot;:{&quot;date-parts&quot;:[[2020]]},&quot;page&quot;:&quot;1103-1121&quot;,&quot;issue&quot;:&quot;5&quot;,&quot;volume&quot;:&quot;11&quot;,&quot;container-title-short&quot;:&quot;&quot;},&quot;isTemporary&quot;:false,&quot;displayAs&quot;:&quot;suppress-author&quot;,&quot;suppress-author&quot;:true,&quot;composite&quot;:false,&quot;author-only&quot;:false}]},{&quot;citationID&quot;:&quot;MENDELEY_CITATION_bb0b875b-a806-4856-969c-0aa588fcad99&quot;,&quot;properties&quot;:{&quot;noteIndex&quot;:0,&quot;mode&quot;:&quot;suppress-author&quot;},&quot;isEdited&quot;:false,&quot;manualOverride&quot;:{&quot;isManuallyOverridden&quot;:false,&quot;citeprocText&quot;:&quot;(2021)&quot;,&quot;manualOverrideText&quot;:&quot;&quot;},&quot;citationTag&quot;:&quot;MENDELEY_CITATION_v3_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&quot;,&quot;citationItems&quot;:[{&quot;id&quot;:&quot;7b33aee1-7811-3d6f-bf84-afe56c812f24&quot;,&quot;itemData&quot;:{&quot;type&quot;:&quot;article-journal&quot;,&quot;id&quot;:&quot;7b33aee1-7811-3d6f-bf84-afe56c812f24&quot;,&quot;title&quot;:&quot;Income inequality and fiscal policy&quot;,&quot;author&quot;:[{&quot;family&quot;:&quot;Stiglitz&quot;,&quot;given&quot;:&quot;J E&quot;,&quot;parse-names&quot;:false,&quot;dropping-particle&quot;:&quot;&quot;,&quot;non-dropping-particle&quot;:&quot;&quot;}],&quot;container-title&quot;:&quot;Oxford Review of Economic Policy&quot;,&quot;container-title-short&quot;:&quot;Oxf. Rev. Econ. Policy&quot;,&quot;DOI&quot;:&quot;10.1093/oxrep/grab031&quot;,&quot;issued&quot;:{&quot;date-parts&quot;:[[2021]]},&quot;page&quot;:&quot;629-647&quot;,&quot;issue&quot;:&quot;4&quot;,&quot;volume&quot;:&quot;37&quot;},&quot;isTemporary&quot;:false,&quot;displayAs&quot;:&quot;suppress-author&quot;,&quot;suppress-author&quot;:true,&quot;composite&quot;:false,&quot;author-only&quot;:false}]},{&quot;citationID&quot;:&quot;MENDELEY_CITATION_6a5b1f40-e629-419e-820b-3493f1c50e7d&quot;,&quot;properties&quot;:{&quot;noteIndex&quot;:0},&quot;isEdited&quot;:false,&quot;manualOverride&quot;:{&quot;isManuallyOverridden&quot;:false,&quot;citeprocText&quot;:&quot;(Bird &amp;#38; Zolt, 2021)&quot;,&quot;manualOverrideText&quot;:&quot;&quot;},&quot;citationTag&quot;:&quot;MENDELEY_CITATION_v3_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&quot;,&quot;citationItems&quot;:[{&quot;id&quot;:&quot;af95a909-bd56-3488-b285-8dceab63975c&quot;,&quot;itemData&quot;:{&quot;type&quot;:&quot;article-journal&quot;,&quot;id&quot;:&quot;af95a909-bd56-3488-b285-8dceab63975c&quot;,&quot;title&quot;:&quot;Taxation and inequality in the 21st century&quot;,&quot;author&quot;:[{&quot;family&quot;:&quot;Bird&quot;,&quot;given&quot;:&quot;R M&quot;,&quot;parse-names&quot;:false,&quot;dropping-particle&quot;:&quot;&quot;,&quot;non-dropping-particle&quot;:&quot;&quot;},{&quot;family&quot;:&quot;Zolt&quot;,&quot;given&quot;:&quot;E M&quot;,&quot;parse-names&quot;:false,&quot;dropping-particle&quot;:&quot;&quot;,&quot;non-dropping-particle&quot;:&quot;&quot;}],&quot;container-title&quot;:&quot;World Development&quot;,&quot;container-title-short&quot;:&quot;World Dev.&quot;,&quot;DOI&quot;:&quot;10.1016/j.worlddev.2020.105123&quot;,&quot;issued&quot;:{&quot;date-parts&quot;:[[2021]]},&quot;page&quot;:&quot;105123&quot;,&quot;volume&quot;:&quot;142&quot;},&quot;isTemporary&quot;:false}]},{&quot;citationID&quot;:&quot;MENDELEY_CITATION_1f4b710b-8df3-4363-9680-f379d0e7b627&quot;,&quot;properties&quot;:{&quot;noteIndex&quot;:0},&quot;isEdited&quot;:false,&quot;manualOverride&quot;:{&quot;isManuallyOverridden&quot;:false,&quot;citeprocText&quot;:&quot;(Ascarya, 2022)&quot;,&quot;manualOverrideText&quot;:&quot;&quot;},&quot;citationTag&quot;:&quot;MENDELEY_CITATION_v3_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&quot;,&quot;citationItems&quot;:[{&quot;id&quot;:&quot;d5265cf1-142a-319b-9dfb-08b9836c4363&quot;,&quot;itemData&quot;:{&quot;type&quot;:&quot;article-journal&quot;,&quot;id&quot;:&quot;d5265cf1-142a-319b-9dfb-08b9836c4363&quot;,&quot;title&quot;:&quot;The role of Islamic social finance in achieving SDGs&quot;,&quot;author&quot;:[{&quot;family&quot;:&quot;Ascarya&quot;,&quot;given&quot;:&quot;&quot;,&quot;parse-names&quot;:false,&quot;dropping-particle&quot;:&quot;&quot;,&quot;non-dropping-particle&quot;:&quot;&quot;}],&quot;container-title&quot;:&quot;Journal of Islamic Monetary Economics and Finance&quot;,&quot;DOI&quot;:&quot;10.21098/jimf.v8i2.1523&quot;,&quot;issued&quot;:{&quot;date-parts&quot;:[[2022]]},&quot;page&quot;:&quot;185-210&quot;,&quot;issue&quot;:&quot;2&quot;,&quot;volume&quot;:&quot;8&quot;,&quot;container-title-short&quot;:&quot;&quot;},&quot;isTemporary&quot;:false}]},{&quot;citationID&quot;:&quot;MENDELEY_CITATION_101b8382-e08e-4d49-85cf-8956adb440c8&quot;,&quot;properties&quot;:{&quot;noteIndex&quot;:0,&quot;mode&quot;:&quot;suppress-author&quot;},&quot;isEdited&quot;:false,&quot;manualOverride&quot;:{&quot;isManuallyOverridden&quot;:false,&quot;citeprocText&quot;:&quot;(2022)&quot;,&quot;manualOverrideText&quot;:&quot;&quot;},&quot;citationTag&quot;:&quot;MENDELEY_CITATION_v3_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&quot;,&quot;citationItems&quot;:[{&quot;id&quot;:&quot;71d5f642-2b34-3919-a03d-4e5e325cd40e&quot;,&quot;itemData&quot;:{&quot;type&quot;:&quot;article-journal&quot;,&quot;id&quot;:&quot;71d5f642-2b34-3919-a03d-4e5e325cd40e&quot;,&quot;title&quot;:&quot;Challenges for the Islamic finance and banking in post COVID era&quot;,&quot;author&quot;:[{&quot;family&quot;:&quot;Hassan&quot;,&quot;given&quot;:&quot;M K&quot;,&quot;parse-names&quot;:false,&quot;dropping-particle&quot;:&quot;&quot;,&quot;non-dropping-particle&quot;:&quot;&quot;},{&quot;family&quot;:&quot;Rabbani&quot;,&quot;given&quot;:&quot;M R&quot;,&quot;parse-names&quot;:false,&quot;dropping-particle&quot;:&quot;&quot;,&quot;non-dropping-particle&quot;:&quot;&quot;},{&quot;family&quot;:&quot;Ali&quot;,&quot;given&quot;:&quot;M A M&quot;,&quot;parse-names&quot;:false,&quot;dropping-particle&quot;:&quot;&quot;,&quot;non-dropping-particle&quot;:&quot;&quot;}],&quot;container-title&quot;:&quot;Pacific-Basin Finance Journal&quot;,&quot;DOI&quot;:&quot;10.1016/j.pacfin.2022.101786&quot;,&quot;issued&quot;:{&quot;date-parts&quot;:[[2022]]},&quot;page&quot;:&quot;101786&quot;,&quot;volume&quot;:&quot;73&quot;,&quot;container-title-short&quot;:&quot;&quot;},&quot;isTemporary&quot;:false,&quot;displayAs&quot;:&quot;suppress-author&quot;,&quot;suppress-author&quot;:true,&quot;composite&quot;:false,&quot;author-only&quot;:false}]},{&quot;citationID&quot;:&quot;MENDELEY_CITATION_e2885edf-01b5-4421-a7df-1704d49cdceb&quot;,&quot;properties&quot;:{&quot;noteIndex&quot;:0,&quot;mode&quot;:&quot;suppress-author&quot;},&quot;isEdited&quot;:false,&quot;manualOverride&quot;:{&quot;isManuallyOverridden&quot;:false,&quot;citeprocText&quot;:&quot;(2021)&quot;,&quot;manualOverrideText&quot;:&quot;&quot;},&quot;citationTag&quot;:&quot;MENDELEY_CITATION_v3_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&quot;,&quot;citationItems&quot;:[{&quot;id&quot;:&quot;5c5f3cb8-10a1-39a5-a129-a22b7e0b87bd&quot;,&quot;itemData&quot;:{&quot;type&quot;:&quot;article-journal&quot;,&quot;id&quot;:&quot;5c5f3cb8-10a1-39a5-a129-a22b7e0b87bd&quot;,&quot;title&quot;:&quot;Economic estimation and determinations of Zakat potential in Indonesia&quot;,&quot;author&quot;:[{&quot;family&quot;:&quot;Firdaus&quot;,&quot;given&quot;:&quot;M&quot;,&quot;parse-names&quot;:false,&quot;dropping-particle&quot;:&quot;&quot;,&quot;non-dropping-particle&quot;:&quot;&quot;},{&quot;family&quot;:&quot;Beik&quot;,&quot;given&quot;:&quot;I S&quot;,&quot;parse-names&quot;:false,&quot;dropping-particle&quot;:&quot;&quot;,&quot;non-dropping-particle&quot;:&quot;&quot;},{&quot;family&quot;:&quot;Irawan&quot;,&quot;given&quot;:&quot;T&quot;,&quot;parse-names&quot;:false,&quot;dropping-particle&quot;:&quot;&quot;,&quot;non-dropping-particle&quot;:&quot;&quot;}],&quot;container-title&quot;:&quot;International Journal of Zakat&quot;,&quot;DOI&quot;:&quot;10.37706/ijaz.v6i1.252&quot;,&quot;issued&quot;:{&quot;date-parts&quot;:[[2021]]},&quot;page&quot;:&quot;1-15&quot;,&quot;issue&quot;:&quot;1&quot;,&quot;volume&quot;:&quot;6&quot;,&quot;container-title-short&quot;:&quot;&quot;},&quot;isTemporary&quot;:false,&quot;displayAs&quot;:&quot;suppress-author&quot;,&quot;suppress-author&quot;:true,&quot;composite&quot;:false,&quot;author-only&quot;:fals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bM8C69iwMiszozQ0esldTrekWQ==">CgMxLjAyDWguNGcyMzFpZ2p6Y3M4AHIhMWNIR1hjVHNNZnZSUS03WEFvVWNwaGFULUxXQ0llVU42</go:docsCustomData>
</go:gDocsCustomXmlDataStorage>
</file>

<file path=customXml/item2.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3DFD21A-2C63-0B4C-9750-A43DA3148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17</Pages>
  <Words>4605</Words>
  <Characters>26255</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ASUS .</cp:lastModifiedBy>
  <cp:revision>4</cp:revision>
  <dcterms:created xsi:type="dcterms:W3CDTF">2025-07-23T03:26:00Z</dcterms:created>
  <dcterms:modified xsi:type="dcterms:W3CDTF">2026-08-06T02:55:00Z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2013-07-24T17:00:00Z</vt:filetime>
  </property>
  <property fmtid="{D5CDD505-2E9C-101B-9397-08002B2CF9AE}" pid="3" name="LastSaved">
    <vt:filetime>2017-12-06T17:00:00Z</vt:filetime>
  </property>
</Properties>
</file>